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EC" w:rsidRDefault="00A00FEC">
      <w:pPr>
        <w:rPr>
          <w:lang w:val="ru-RU"/>
        </w:rPr>
      </w:pPr>
    </w:p>
    <w:p w:rsidR="00A00FEC" w:rsidRDefault="00A00FEC">
      <w:pPr>
        <w:rPr>
          <w:lang w:val="ru-RU"/>
        </w:rPr>
      </w:pPr>
    </w:p>
    <w:p w:rsidR="00A00FEC" w:rsidRPr="00A00FEC" w:rsidRDefault="00A00FEC">
      <w:pPr>
        <w:rPr>
          <w:lang w:val="ru-RU"/>
        </w:rPr>
      </w:pPr>
    </w:p>
    <w:tbl>
      <w:tblPr>
        <w:tblStyle w:val="a3"/>
        <w:tblW w:w="0" w:type="auto"/>
        <w:tblInd w:w="108" w:type="dxa"/>
        <w:tblLook w:val="04A0"/>
      </w:tblPr>
      <w:tblGrid>
        <w:gridCol w:w="1812"/>
        <w:gridCol w:w="563"/>
        <w:gridCol w:w="1138"/>
        <w:gridCol w:w="5950"/>
      </w:tblGrid>
      <w:tr w:rsidR="000F7925" w:rsidTr="00A00FEC">
        <w:tc>
          <w:tcPr>
            <w:tcW w:w="9463" w:type="dxa"/>
            <w:gridSpan w:val="4"/>
          </w:tcPr>
          <w:p w:rsidR="000F7925" w:rsidRPr="00F160F2" w:rsidRDefault="000F7925" w:rsidP="00D12F38">
            <w:pPr>
              <w:jc w:val="center"/>
              <w:rPr>
                <w:rFonts w:ascii="Tahoma" w:hAnsi="Tahoma" w:cs="Tahoma"/>
                <w:b/>
                <w:caps/>
                <w:sz w:val="20"/>
                <w:szCs w:val="20"/>
                <w:lang w:val="en-US"/>
              </w:rPr>
            </w:pPr>
            <w:r w:rsidRPr="00F160F2">
              <w:rPr>
                <w:rFonts w:ascii="Tahoma" w:hAnsi="Tahoma" w:cs="Tahoma"/>
                <w:b/>
                <w:caps/>
                <w:sz w:val="20"/>
                <w:szCs w:val="20"/>
                <w:lang w:val="en-US"/>
              </w:rPr>
              <w:t>european union: mission and organization</w:t>
            </w:r>
          </w:p>
          <w:p w:rsidR="000F7925" w:rsidRPr="00F160F2" w:rsidRDefault="000F7925" w:rsidP="00D12F38">
            <w:pPr>
              <w:jc w:val="center"/>
              <w:rPr>
                <w:rFonts w:ascii="Tahoma" w:hAnsi="Tahoma" w:cs="Tahoma"/>
                <w:sz w:val="20"/>
                <w:szCs w:val="20"/>
                <w:lang w:val="en-US"/>
              </w:rPr>
            </w:pPr>
            <w:r w:rsidRPr="00F160F2">
              <w:rPr>
                <w:rFonts w:ascii="Tahoma" w:hAnsi="Tahoma" w:cs="Tahoma"/>
                <w:sz w:val="20"/>
                <w:szCs w:val="20"/>
                <w:lang w:val="en-US"/>
              </w:rPr>
              <w:t>(Course syllabus)</w:t>
            </w:r>
          </w:p>
        </w:tc>
      </w:tr>
      <w:tr w:rsidR="000F7925" w:rsidTr="00A00FEC">
        <w:tc>
          <w:tcPr>
            <w:tcW w:w="1812" w:type="dxa"/>
          </w:tcPr>
          <w:p w:rsidR="000F7925" w:rsidRDefault="000F7925" w:rsidP="00D12F38">
            <w:pPr>
              <w:rPr>
                <w:rFonts w:ascii="Tahoma" w:hAnsi="Tahoma" w:cs="Tahoma"/>
                <w:b/>
                <w:caps/>
                <w:sz w:val="20"/>
                <w:szCs w:val="20"/>
                <w:lang w:val="uk-UA"/>
              </w:rPr>
            </w:pPr>
            <w:r w:rsidRPr="00F160F2">
              <w:rPr>
                <w:rFonts w:ascii="Tahoma" w:hAnsi="Tahoma" w:cs="Tahoma"/>
                <w:b/>
                <w:sz w:val="20"/>
                <w:szCs w:val="20"/>
                <w:lang w:val="en-US"/>
              </w:rPr>
              <w:t>Instructor:</w:t>
            </w:r>
          </w:p>
        </w:tc>
        <w:tc>
          <w:tcPr>
            <w:tcW w:w="7651" w:type="dxa"/>
            <w:gridSpan w:val="3"/>
          </w:tcPr>
          <w:p w:rsidR="000F7925" w:rsidRPr="005C62B7" w:rsidRDefault="000F7925" w:rsidP="00D12F38">
            <w:pPr>
              <w:rPr>
                <w:rFonts w:ascii="Tahoma" w:hAnsi="Tahoma" w:cs="Tahoma"/>
                <w:sz w:val="20"/>
                <w:szCs w:val="20"/>
              </w:rPr>
            </w:pPr>
            <w:r w:rsidRPr="00F160F2">
              <w:rPr>
                <w:rFonts w:ascii="Tahoma" w:hAnsi="Tahoma" w:cs="Tahoma"/>
                <w:sz w:val="20"/>
                <w:szCs w:val="20"/>
                <w:lang w:val="en-US"/>
              </w:rPr>
              <w:t xml:space="preserve">Andrii Boiar, room 6, Building G, 28 Vynnychenka str., </w:t>
            </w:r>
            <w:hyperlink r:id="rId7" w:history="1">
              <w:r w:rsidRPr="00F160F2">
                <w:rPr>
                  <w:rStyle w:val="a4"/>
                  <w:rFonts w:ascii="Tahoma" w:hAnsi="Tahoma" w:cs="Tahoma"/>
                  <w:sz w:val="20"/>
                  <w:szCs w:val="20"/>
                </w:rPr>
                <w:t>Andrij.Boyar@eenu.edu.ua</w:t>
              </w:r>
            </w:hyperlink>
          </w:p>
        </w:tc>
      </w:tr>
      <w:tr w:rsidR="000F7925" w:rsidTr="00A00FEC">
        <w:tc>
          <w:tcPr>
            <w:tcW w:w="1812" w:type="dxa"/>
          </w:tcPr>
          <w:p w:rsidR="000F7925" w:rsidRDefault="000F7925" w:rsidP="00D12F38">
            <w:pPr>
              <w:rPr>
                <w:rFonts w:ascii="Tahoma" w:hAnsi="Tahoma" w:cs="Tahoma"/>
                <w:b/>
                <w:caps/>
                <w:sz w:val="20"/>
                <w:szCs w:val="20"/>
                <w:lang w:val="uk-UA"/>
              </w:rPr>
            </w:pPr>
            <w:r w:rsidRPr="00F160F2">
              <w:rPr>
                <w:rFonts w:ascii="Tahoma" w:hAnsi="Tahoma" w:cs="Tahoma"/>
                <w:b/>
                <w:sz w:val="20"/>
                <w:szCs w:val="20"/>
                <w:lang w:val="en-US"/>
              </w:rPr>
              <w:t>Course description</w:t>
            </w:r>
            <w:r w:rsidRPr="00F160F2">
              <w:rPr>
                <w:rFonts w:ascii="Tahoma" w:hAnsi="Tahoma" w:cs="Tahoma"/>
                <w:sz w:val="20"/>
                <w:szCs w:val="20"/>
                <w:lang w:val="en-US"/>
              </w:rPr>
              <w:t>:</w:t>
            </w:r>
          </w:p>
        </w:tc>
        <w:tc>
          <w:tcPr>
            <w:tcW w:w="7651" w:type="dxa"/>
            <w:gridSpan w:val="3"/>
          </w:tcPr>
          <w:p w:rsidR="000F7925" w:rsidRPr="005C62B7" w:rsidRDefault="000F7925" w:rsidP="00D12F38">
            <w:pPr>
              <w:jc w:val="both"/>
              <w:rPr>
                <w:rFonts w:ascii="Tahoma" w:hAnsi="Tahoma" w:cs="Tahoma"/>
                <w:sz w:val="20"/>
                <w:szCs w:val="20"/>
                <w:lang w:val="uk-UA"/>
              </w:rPr>
            </w:pPr>
            <w:r w:rsidRPr="00F160F2">
              <w:rPr>
                <w:rFonts w:ascii="Tahoma" w:hAnsi="Tahoma" w:cs="Tahoma"/>
                <w:sz w:val="20"/>
                <w:szCs w:val="20"/>
                <w:lang w:val="en-US"/>
              </w:rPr>
              <w:t xml:space="preserve">it is a one-semester 3-credit introductory graduate course to the block of specialized disciplines on the EU. It is intended to generalize understanding of the European integration process, organizational structure of the EU and its policies by graduate students who might have rather heterogeneous backgrounds. Within the course such EU-related issues will be introduced and discussed: origination and history of the EC/EU, institutions and bodies, legislation, decision-making and interrelations of national-supranational powers, EU budget, policy areas, EU as a global actor, EU and Ukraine.        </w:t>
            </w:r>
          </w:p>
        </w:tc>
      </w:tr>
      <w:tr w:rsidR="000F7925" w:rsidTr="00A00FEC">
        <w:tc>
          <w:tcPr>
            <w:tcW w:w="1812" w:type="dxa"/>
          </w:tcPr>
          <w:p w:rsidR="000F7925" w:rsidRPr="00F160F2" w:rsidRDefault="000F7925" w:rsidP="00D12F38">
            <w:pPr>
              <w:rPr>
                <w:rFonts w:ascii="Tahoma" w:hAnsi="Tahoma" w:cs="Tahoma"/>
                <w:sz w:val="20"/>
                <w:szCs w:val="20"/>
                <w:lang w:val="en-US"/>
              </w:rPr>
            </w:pPr>
            <w:r w:rsidRPr="00F160F2">
              <w:rPr>
                <w:rFonts w:ascii="Tahoma" w:hAnsi="Tahoma" w:cs="Tahoma"/>
                <w:b/>
                <w:sz w:val="20"/>
                <w:szCs w:val="20"/>
                <w:lang w:val="en-US"/>
              </w:rPr>
              <w:t>Assigned readings</w:t>
            </w:r>
            <w:r w:rsidRPr="00F160F2">
              <w:rPr>
                <w:rFonts w:ascii="Tahoma" w:hAnsi="Tahoma" w:cs="Tahoma"/>
                <w:sz w:val="20"/>
                <w:szCs w:val="20"/>
                <w:lang w:val="en-US"/>
              </w:rPr>
              <w:t xml:space="preserve"> (one of the three to be selected by a student): </w:t>
            </w:r>
          </w:p>
          <w:p w:rsidR="000F7925" w:rsidRPr="005C62B7" w:rsidRDefault="000F7925" w:rsidP="00D12F38">
            <w:pPr>
              <w:rPr>
                <w:rFonts w:ascii="Tahoma" w:hAnsi="Tahoma" w:cs="Tahoma"/>
                <w:b/>
                <w:caps/>
                <w:sz w:val="20"/>
                <w:szCs w:val="20"/>
                <w:lang w:val="en-US"/>
              </w:rPr>
            </w:pPr>
          </w:p>
        </w:tc>
        <w:tc>
          <w:tcPr>
            <w:tcW w:w="7651" w:type="dxa"/>
            <w:gridSpan w:val="3"/>
          </w:tcPr>
          <w:p w:rsidR="000F7925" w:rsidRPr="005C62B7" w:rsidRDefault="000F7925" w:rsidP="00D12F38">
            <w:pPr>
              <w:contextualSpacing/>
              <w:rPr>
                <w:rFonts w:ascii="Tahoma" w:hAnsi="Tahoma" w:cs="Tahoma"/>
                <w:iCs/>
                <w:sz w:val="20"/>
                <w:szCs w:val="20"/>
                <w:lang w:val="en-US"/>
              </w:rPr>
            </w:pPr>
            <w:r>
              <w:rPr>
                <w:rFonts w:ascii="Tahoma" w:hAnsi="Tahoma" w:cs="Tahoma"/>
                <w:sz w:val="20"/>
                <w:szCs w:val="20"/>
                <w:lang w:val="en-US"/>
              </w:rPr>
              <w:t xml:space="preserve">1) </w:t>
            </w:r>
            <w:r w:rsidRPr="005C62B7">
              <w:rPr>
                <w:rFonts w:ascii="Tahoma" w:hAnsi="Tahoma" w:cs="Tahoma"/>
                <w:sz w:val="20"/>
                <w:szCs w:val="20"/>
                <w:lang w:val="en-US"/>
              </w:rPr>
              <w:t xml:space="preserve">Cini M. and Borragán N. (eds.) (2013). </w:t>
            </w:r>
            <w:r w:rsidRPr="005C62B7">
              <w:rPr>
                <w:rFonts w:ascii="Tahoma" w:hAnsi="Tahoma" w:cs="Tahoma"/>
                <w:i/>
                <w:iCs/>
                <w:sz w:val="20"/>
                <w:szCs w:val="20"/>
                <w:lang w:val="en-US"/>
              </w:rPr>
              <w:t>European Union Politics</w:t>
            </w:r>
            <w:r w:rsidRPr="005C62B7">
              <w:rPr>
                <w:rFonts w:ascii="Tahoma" w:hAnsi="Tahoma" w:cs="Tahoma"/>
                <w:sz w:val="20"/>
                <w:szCs w:val="20"/>
                <w:lang w:val="en-US"/>
              </w:rPr>
              <w:t>. 4th edition. Oxford University Press, 496 p. (in English);</w:t>
            </w:r>
          </w:p>
          <w:p w:rsidR="000F7925" w:rsidRPr="005C62B7" w:rsidRDefault="000F7925" w:rsidP="00D12F38">
            <w:pPr>
              <w:contextualSpacing/>
              <w:rPr>
                <w:rFonts w:ascii="Tahoma" w:hAnsi="Tahoma" w:cs="Tahoma"/>
                <w:iCs/>
                <w:sz w:val="20"/>
                <w:szCs w:val="20"/>
                <w:lang w:val="en-US"/>
              </w:rPr>
            </w:pPr>
            <w:r>
              <w:rPr>
                <w:rStyle w:val="a-declarative"/>
                <w:rFonts w:ascii="Tahoma" w:hAnsi="Tahoma" w:cs="Tahoma"/>
                <w:color w:val="111111"/>
                <w:sz w:val="20"/>
                <w:szCs w:val="20"/>
                <w:lang w:val="en-US"/>
              </w:rPr>
              <w:t xml:space="preserve">2) </w:t>
            </w:r>
            <w:r w:rsidRPr="005C62B7">
              <w:rPr>
                <w:rStyle w:val="a-declarative"/>
                <w:rFonts w:ascii="Tahoma" w:hAnsi="Tahoma" w:cs="Tahoma"/>
                <w:color w:val="111111"/>
                <w:sz w:val="20"/>
                <w:szCs w:val="20"/>
                <w:lang w:val="en-US"/>
              </w:rPr>
              <w:t xml:space="preserve">Dinan, D. (2010). </w:t>
            </w:r>
            <w:r w:rsidRPr="005C62B7">
              <w:rPr>
                <w:rStyle w:val="a-size-large1"/>
                <w:rFonts w:ascii="Tahoma" w:hAnsi="Tahoma" w:cs="Tahoma"/>
                <w:i/>
                <w:color w:val="111111"/>
                <w:sz w:val="20"/>
                <w:szCs w:val="20"/>
                <w:lang w:val="en-US"/>
              </w:rPr>
              <w:t>Ever Closer Union: An Introduction to European Integration</w:t>
            </w:r>
            <w:r w:rsidRPr="005C62B7">
              <w:rPr>
                <w:rStyle w:val="a-size-large1"/>
                <w:rFonts w:ascii="Tahoma" w:hAnsi="Tahoma" w:cs="Tahoma"/>
                <w:color w:val="111111"/>
                <w:sz w:val="20"/>
                <w:szCs w:val="20"/>
                <w:lang w:val="en-US"/>
              </w:rPr>
              <w:t xml:space="preserve">. 4th edition. </w:t>
            </w:r>
            <w:r w:rsidRPr="005C62B7">
              <w:rPr>
                <w:rFonts w:ascii="Tahoma" w:hAnsi="Tahoma" w:cs="Tahoma"/>
                <w:color w:val="333333"/>
                <w:sz w:val="20"/>
                <w:szCs w:val="20"/>
                <w:lang w:val="en-US"/>
              </w:rPr>
              <w:t xml:space="preserve">Lynne Rienner Publisher, 619 p. </w:t>
            </w:r>
            <w:r w:rsidRPr="005C62B7">
              <w:rPr>
                <w:rFonts w:ascii="Tahoma" w:hAnsi="Tahoma" w:cs="Tahoma"/>
                <w:sz w:val="20"/>
                <w:szCs w:val="20"/>
                <w:lang w:val="en-US"/>
              </w:rPr>
              <w:t xml:space="preserve">(in English); </w:t>
            </w:r>
          </w:p>
          <w:p w:rsidR="000F7925" w:rsidRPr="005C62B7" w:rsidRDefault="000F7925" w:rsidP="00D12F38">
            <w:pPr>
              <w:contextualSpacing/>
              <w:rPr>
                <w:rFonts w:ascii="Tahoma" w:hAnsi="Tahoma" w:cs="Tahoma"/>
                <w:iCs/>
                <w:sz w:val="20"/>
                <w:szCs w:val="20"/>
                <w:lang w:val="en-US"/>
              </w:rPr>
            </w:pPr>
            <w:r>
              <w:rPr>
                <w:rFonts w:ascii="Tahoma" w:hAnsi="Tahoma" w:cs="Tahoma"/>
                <w:iCs/>
                <w:sz w:val="20"/>
                <w:szCs w:val="20"/>
                <w:lang w:val="en-US"/>
              </w:rPr>
              <w:t>3) F</w:t>
            </w:r>
            <w:r w:rsidRPr="005C62B7">
              <w:rPr>
                <w:rFonts w:ascii="Tahoma" w:hAnsi="Tahoma" w:cs="Tahoma"/>
                <w:iCs/>
                <w:sz w:val="20"/>
                <w:szCs w:val="20"/>
                <w:lang w:val="en-US"/>
              </w:rPr>
              <w:t xml:space="preserve">edoniuk, S. V. and Lazhnik V. Y. (eds.) (2011). </w:t>
            </w:r>
            <w:r w:rsidRPr="005C62B7">
              <w:rPr>
                <w:rFonts w:ascii="Tahoma" w:hAnsi="Tahoma" w:cs="Tahoma"/>
                <w:i/>
                <w:iCs/>
                <w:sz w:val="20"/>
                <w:szCs w:val="20"/>
                <w:lang w:val="en-US"/>
              </w:rPr>
              <w:t>European Integration</w:t>
            </w:r>
            <w:r w:rsidRPr="005C62B7">
              <w:rPr>
                <w:rFonts w:ascii="Tahoma" w:hAnsi="Tahoma" w:cs="Tahoma"/>
                <w:iCs/>
                <w:sz w:val="20"/>
                <w:szCs w:val="20"/>
                <w:lang w:val="en-US"/>
              </w:rPr>
              <w:t xml:space="preserve">. </w:t>
            </w:r>
            <w:r w:rsidRPr="005C62B7">
              <w:rPr>
                <w:rStyle w:val="a-size-large1"/>
                <w:rFonts w:ascii="Tahoma" w:hAnsi="Tahoma" w:cs="Tahoma"/>
                <w:color w:val="111111"/>
                <w:sz w:val="20"/>
                <w:szCs w:val="20"/>
                <w:lang w:val="en-US"/>
              </w:rPr>
              <w:t>2-d edition</w:t>
            </w:r>
            <w:r w:rsidRPr="005C62B7">
              <w:rPr>
                <w:rFonts w:ascii="Tahoma" w:hAnsi="Tahoma" w:cs="Tahoma"/>
                <w:iCs/>
                <w:sz w:val="20"/>
                <w:szCs w:val="20"/>
                <w:lang w:val="en-US"/>
              </w:rPr>
              <w:t xml:space="preserve"> Lutsk: LUVNU, 760 p. (in Ukrainian).</w:t>
            </w:r>
          </w:p>
          <w:p w:rsidR="000F7925" w:rsidRPr="00F160F2" w:rsidRDefault="000F7925" w:rsidP="00D12F38">
            <w:pPr>
              <w:jc w:val="both"/>
              <w:rPr>
                <w:rFonts w:ascii="Tahoma" w:hAnsi="Tahoma" w:cs="Tahoma"/>
                <w:sz w:val="20"/>
                <w:szCs w:val="20"/>
                <w:lang w:val="en-US"/>
              </w:rPr>
            </w:pPr>
            <w:r w:rsidRPr="00E03AE8">
              <w:rPr>
                <w:rFonts w:ascii="Tahoma" w:hAnsi="Tahoma" w:cs="Tahoma"/>
                <w:sz w:val="20"/>
                <w:szCs w:val="20"/>
                <w:lang w:val="en-US"/>
              </w:rPr>
              <w:t>Additional readings (from the list below) will be assigned for some classes. It is suggested that students should also keep abreast of</w:t>
            </w:r>
            <w:r w:rsidRPr="00F160F2">
              <w:rPr>
                <w:rFonts w:ascii="Tahoma" w:hAnsi="Tahoma" w:cs="Tahoma"/>
                <w:sz w:val="20"/>
                <w:szCs w:val="20"/>
                <w:lang w:val="en-US"/>
              </w:rPr>
              <w:t xml:space="preserve"> current European and international events, by reading periodicals and watching/listening news channels.</w:t>
            </w:r>
          </w:p>
          <w:p w:rsidR="000F7925" w:rsidRPr="005C62B7" w:rsidRDefault="00906A6B" w:rsidP="00D12F38">
            <w:pPr>
              <w:rPr>
                <w:rFonts w:ascii="Tahoma" w:hAnsi="Tahoma" w:cs="Tahoma"/>
                <w:iCs/>
                <w:sz w:val="20"/>
                <w:szCs w:val="20"/>
                <w:lang w:val="en-US"/>
              </w:rPr>
            </w:pPr>
            <w:hyperlink r:id="rId8" w:history="1">
              <w:r w:rsidR="000F7925" w:rsidRPr="00F160F2">
                <w:rPr>
                  <w:rStyle w:val="a4"/>
                  <w:rFonts w:ascii="Tahoma" w:hAnsi="Tahoma" w:cs="Tahoma"/>
                  <w:iCs/>
                  <w:sz w:val="20"/>
                  <w:szCs w:val="20"/>
                  <w:lang w:val="en-US"/>
                </w:rPr>
                <w:t>http://europa.eu</w:t>
              </w:r>
            </w:hyperlink>
            <w:r w:rsidR="000F7925" w:rsidRPr="00F160F2">
              <w:rPr>
                <w:rFonts w:ascii="Tahoma" w:hAnsi="Tahoma" w:cs="Tahoma"/>
                <w:sz w:val="20"/>
                <w:szCs w:val="20"/>
                <w:lang w:val="en-US"/>
              </w:rPr>
              <w:t>, the EU website, is an invaluable resource for anyone interested in European integration. It contains a wealth of information on EU institutions, policies, and programs, as well as links to other important websites.</w:t>
            </w:r>
          </w:p>
        </w:tc>
      </w:tr>
      <w:tr w:rsidR="000F7925" w:rsidTr="00A00FEC">
        <w:tc>
          <w:tcPr>
            <w:tcW w:w="1812" w:type="dxa"/>
          </w:tcPr>
          <w:p w:rsidR="000F7925" w:rsidRDefault="000F7925" w:rsidP="00D12F38">
            <w:pPr>
              <w:rPr>
                <w:rFonts w:ascii="Tahoma" w:hAnsi="Tahoma" w:cs="Tahoma"/>
                <w:b/>
                <w:caps/>
                <w:sz w:val="20"/>
                <w:szCs w:val="20"/>
                <w:lang w:val="uk-UA"/>
              </w:rPr>
            </w:pPr>
            <w:r w:rsidRPr="00F160F2">
              <w:rPr>
                <w:rFonts w:ascii="Tahoma" w:hAnsi="Tahoma" w:cs="Tahoma"/>
                <w:b/>
                <w:sz w:val="20"/>
                <w:szCs w:val="20"/>
                <w:lang w:val="en-US"/>
              </w:rPr>
              <w:t>Prerequisites:</w:t>
            </w:r>
          </w:p>
        </w:tc>
        <w:tc>
          <w:tcPr>
            <w:tcW w:w="7651" w:type="dxa"/>
            <w:gridSpan w:val="3"/>
          </w:tcPr>
          <w:p w:rsidR="000F7925" w:rsidRPr="005C62B7" w:rsidRDefault="000F7925" w:rsidP="00D12F38">
            <w:pPr>
              <w:rPr>
                <w:rFonts w:ascii="Tahoma" w:hAnsi="Tahoma" w:cs="Tahoma"/>
                <w:sz w:val="20"/>
                <w:szCs w:val="20"/>
                <w:lang w:val="en-US"/>
              </w:rPr>
            </w:pPr>
            <w:r w:rsidRPr="00F160F2">
              <w:rPr>
                <w:rFonts w:ascii="Tahoma" w:hAnsi="Tahoma" w:cs="Tahoma"/>
                <w:sz w:val="20"/>
                <w:szCs w:val="20"/>
                <w:lang w:val="en-US"/>
              </w:rPr>
              <w:t>fundamentals of international relations, integration and law.</w:t>
            </w:r>
          </w:p>
        </w:tc>
      </w:tr>
      <w:tr w:rsidR="000F7925" w:rsidTr="00A00FEC">
        <w:tc>
          <w:tcPr>
            <w:tcW w:w="1812" w:type="dxa"/>
          </w:tcPr>
          <w:p w:rsidR="000F7925" w:rsidRDefault="000F7925" w:rsidP="00D12F38">
            <w:pPr>
              <w:rPr>
                <w:rFonts w:ascii="Tahoma" w:hAnsi="Tahoma" w:cs="Tahoma"/>
                <w:b/>
                <w:caps/>
                <w:sz w:val="20"/>
                <w:szCs w:val="20"/>
                <w:lang w:val="uk-UA"/>
              </w:rPr>
            </w:pPr>
            <w:r w:rsidRPr="00F160F2">
              <w:rPr>
                <w:rFonts w:ascii="Tahoma" w:hAnsi="Tahoma" w:cs="Tahoma"/>
                <w:b/>
                <w:sz w:val="20"/>
                <w:szCs w:val="20"/>
                <w:lang w:val="en-US"/>
              </w:rPr>
              <w:t>Grading policy:</w:t>
            </w:r>
          </w:p>
        </w:tc>
        <w:tc>
          <w:tcPr>
            <w:tcW w:w="7651" w:type="dxa"/>
            <w:gridSpan w:val="3"/>
          </w:tcPr>
          <w:p w:rsidR="000F7925" w:rsidRPr="00F160F2" w:rsidRDefault="000F7925" w:rsidP="00D12F38">
            <w:pPr>
              <w:rPr>
                <w:rFonts w:ascii="Tahoma" w:hAnsi="Tahoma" w:cs="Tahoma"/>
                <w:sz w:val="20"/>
                <w:szCs w:val="20"/>
                <w:lang w:val="en-US"/>
              </w:rPr>
            </w:pPr>
            <w:r w:rsidRPr="00F160F2">
              <w:rPr>
                <w:rFonts w:ascii="Tahoma" w:hAnsi="Tahoma" w:cs="Tahoma"/>
                <w:sz w:val="20"/>
                <w:szCs w:val="20"/>
                <w:lang w:val="en-US"/>
              </w:rPr>
              <w:t>letter grades determined from:</w:t>
            </w:r>
          </w:p>
          <w:p w:rsidR="000F7925" w:rsidRPr="00F160F2" w:rsidRDefault="000F7925" w:rsidP="00D12F38">
            <w:pPr>
              <w:pStyle w:val="a5"/>
              <w:numPr>
                <w:ilvl w:val="0"/>
                <w:numId w:val="1"/>
              </w:numPr>
              <w:ind w:left="567" w:hanging="283"/>
              <w:contextualSpacing/>
              <w:rPr>
                <w:rFonts w:ascii="Tahoma" w:hAnsi="Tahoma" w:cs="Tahoma"/>
                <w:sz w:val="20"/>
                <w:szCs w:val="20"/>
                <w:lang w:val="en-US"/>
              </w:rPr>
            </w:pPr>
            <w:r w:rsidRPr="00F160F2">
              <w:rPr>
                <w:rFonts w:ascii="Tahoma" w:hAnsi="Tahoma" w:cs="Tahoma"/>
                <w:sz w:val="20"/>
                <w:szCs w:val="20"/>
                <w:lang w:val="en-US"/>
              </w:rPr>
              <w:t>participation in class discussion – 20 %;</w:t>
            </w:r>
          </w:p>
          <w:p w:rsidR="000F7925" w:rsidRPr="00F160F2" w:rsidRDefault="000F7925" w:rsidP="00D12F38">
            <w:pPr>
              <w:pStyle w:val="a5"/>
              <w:numPr>
                <w:ilvl w:val="0"/>
                <w:numId w:val="1"/>
              </w:numPr>
              <w:ind w:left="567" w:hanging="283"/>
              <w:contextualSpacing/>
              <w:rPr>
                <w:rFonts w:ascii="Tahoma" w:hAnsi="Tahoma" w:cs="Tahoma"/>
                <w:sz w:val="20"/>
                <w:szCs w:val="20"/>
                <w:lang w:val="en-US"/>
              </w:rPr>
            </w:pPr>
            <w:r w:rsidRPr="00F160F2">
              <w:rPr>
                <w:rFonts w:ascii="Tahoma" w:hAnsi="Tahoma" w:cs="Tahoma"/>
                <w:sz w:val="20"/>
                <w:szCs w:val="20"/>
                <w:lang w:val="en-US"/>
              </w:rPr>
              <w:t xml:space="preserve">a research paper on one of the course key issues to be defended in class </w:t>
            </w:r>
          </w:p>
          <w:p w:rsidR="000F7925" w:rsidRPr="00F160F2" w:rsidRDefault="000F7925" w:rsidP="00D12F38">
            <w:pPr>
              <w:pStyle w:val="a5"/>
              <w:ind w:left="567"/>
              <w:rPr>
                <w:rFonts w:ascii="Tahoma" w:hAnsi="Tahoma" w:cs="Tahoma"/>
                <w:sz w:val="20"/>
                <w:szCs w:val="20"/>
                <w:lang w:val="en-US"/>
              </w:rPr>
            </w:pPr>
            <w:r w:rsidRPr="00F160F2">
              <w:rPr>
                <w:rFonts w:ascii="Tahoma" w:hAnsi="Tahoma" w:cs="Tahoma"/>
                <w:sz w:val="20"/>
                <w:szCs w:val="20"/>
                <w:lang w:val="en-US"/>
              </w:rPr>
              <w:t>(the topic is selected by a student and agreed with an instructor) – 20 %;</w:t>
            </w:r>
          </w:p>
          <w:p w:rsidR="000F7925" w:rsidRPr="005C62B7" w:rsidRDefault="000F7925" w:rsidP="00D12F38">
            <w:pPr>
              <w:pStyle w:val="a5"/>
              <w:numPr>
                <w:ilvl w:val="0"/>
                <w:numId w:val="1"/>
              </w:numPr>
              <w:ind w:left="567" w:hanging="283"/>
              <w:contextualSpacing/>
              <w:rPr>
                <w:rFonts w:ascii="Tahoma" w:hAnsi="Tahoma" w:cs="Tahoma"/>
                <w:sz w:val="20"/>
                <w:szCs w:val="20"/>
                <w:lang w:val="en-US"/>
              </w:rPr>
            </w:pPr>
            <w:r w:rsidRPr="00F160F2">
              <w:rPr>
                <w:rFonts w:ascii="Tahoma" w:hAnsi="Tahoma" w:cs="Tahoma"/>
                <w:sz w:val="20"/>
                <w:szCs w:val="20"/>
                <w:lang w:val="en-US"/>
              </w:rPr>
              <w:t>final examination – 60 %.</w:t>
            </w:r>
          </w:p>
        </w:tc>
      </w:tr>
      <w:tr w:rsidR="000F7925" w:rsidTr="00A00FEC">
        <w:tc>
          <w:tcPr>
            <w:tcW w:w="1812" w:type="dxa"/>
          </w:tcPr>
          <w:p w:rsidR="000F7925" w:rsidRDefault="000F7925" w:rsidP="00D12F38">
            <w:pPr>
              <w:rPr>
                <w:rFonts w:ascii="Tahoma" w:hAnsi="Tahoma" w:cs="Tahoma"/>
                <w:b/>
                <w:caps/>
                <w:sz w:val="20"/>
                <w:szCs w:val="20"/>
                <w:lang w:val="uk-UA"/>
              </w:rPr>
            </w:pPr>
            <w:r w:rsidRPr="00F160F2">
              <w:rPr>
                <w:rFonts w:ascii="Tahoma" w:hAnsi="Tahoma" w:cs="Tahoma"/>
                <w:b/>
                <w:sz w:val="20"/>
                <w:szCs w:val="20"/>
                <w:lang w:val="en-US"/>
              </w:rPr>
              <w:t>Class format:</w:t>
            </w:r>
          </w:p>
        </w:tc>
        <w:tc>
          <w:tcPr>
            <w:tcW w:w="7651" w:type="dxa"/>
            <w:gridSpan w:val="3"/>
          </w:tcPr>
          <w:p w:rsidR="000F7925" w:rsidRPr="005C62B7" w:rsidRDefault="000F7925" w:rsidP="00D12F38">
            <w:pPr>
              <w:rPr>
                <w:rFonts w:ascii="Tahoma" w:hAnsi="Tahoma" w:cs="Tahoma"/>
                <w:sz w:val="20"/>
                <w:szCs w:val="20"/>
                <w:lang w:val="en-US"/>
              </w:rPr>
            </w:pPr>
            <w:r w:rsidRPr="00F160F2">
              <w:rPr>
                <w:rFonts w:ascii="Tahoma" w:hAnsi="Tahoma" w:cs="Tahoma"/>
                <w:sz w:val="20"/>
                <w:szCs w:val="20"/>
                <w:lang w:val="en-US"/>
              </w:rPr>
              <w:t xml:space="preserve">there will be </w:t>
            </w:r>
            <w:r>
              <w:rPr>
                <w:rFonts w:ascii="Tahoma" w:hAnsi="Tahoma" w:cs="Tahoma"/>
                <w:sz w:val="20"/>
                <w:szCs w:val="20"/>
                <w:lang w:val="en-US"/>
              </w:rPr>
              <w:t>24</w:t>
            </w:r>
            <w:r w:rsidRPr="00F160F2">
              <w:rPr>
                <w:rFonts w:ascii="Tahoma" w:hAnsi="Tahoma" w:cs="Tahoma"/>
                <w:sz w:val="20"/>
                <w:szCs w:val="20"/>
                <w:lang w:val="en-US"/>
              </w:rPr>
              <w:t xml:space="preserve"> classes within the course, two academic hours each. The course will start with </w:t>
            </w:r>
            <w:r>
              <w:rPr>
                <w:rFonts w:ascii="Tahoma" w:hAnsi="Tahoma" w:cs="Tahoma"/>
                <w:sz w:val="20"/>
                <w:szCs w:val="20"/>
                <w:lang w:val="en-US"/>
              </w:rPr>
              <w:t>11</w:t>
            </w:r>
            <w:r w:rsidRPr="00F160F2">
              <w:rPr>
                <w:rFonts w:ascii="Tahoma" w:hAnsi="Tahoma" w:cs="Tahoma"/>
                <w:sz w:val="20"/>
                <w:szCs w:val="20"/>
                <w:lang w:val="en-US"/>
              </w:rPr>
              <w:t xml:space="preserve"> interactive lectures, followed by </w:t>
            </w:r>
            <w:r>
              <w:rPr>
                <w:rFonts w:ascii="Tahoma" w:hAnsi="Tahoma" w:cs="Tahoma"/>
                <w:sz w:val="20"/>
                <w:szCs w:val="20"/>
                <w:lang w:val="en-US"/>
              </w:rPr>
              <w:t>10</w:t>
            </w:r>
            <w:r w:rsidRPr="00F160F2">
              <w:rPr>
                <w:rFonts w:ascii="Tahoma" w:hAnsi="Tahoma" w:cs="Tahoma"/>
                <w:sz w:val="20"/>
                <w:szCs w:val="20"/>
                <w:lang w:val="en-US"/>
              </w:rPr>
              <w:t xml:space="preserve"> seminars or round tables</w:t>
            </w:r>
            <w:r w:rsidRPr="0064741B">
              <w:rPr>
                <w:rFonts w:ascii="Tahoma" w:hAnsi="Tahoma" w:cs="Tahoma"/>
                <w:sz w:val="20"/>
                <w:szCs w:val="20"/>
                <w:lang w:val="en-US"/>
              </w:rPr>
              <w:t xml:space="preserve">. For the seminars (round tables) students will be given reading assignments to be discussed in class. Two classes will be devoted to essay defense and at the final class we will have a final test.  </w:t>
            </w:r>
          </w:p>
        </w:tc>
      </w:tr>
      <w:tr w:rsidR="000F7925" w:rsidTr="00A00FEC">
        <w:tc>
          <w:tcPr>
            <w:tcW w:w="1812" w:type="dxa"/>
            <w:vMerge w:val="restart"/>
          </w:tcPr>
          <w:p w:rsidR="000F7925" w:rsidRPr="0064741B" w:rsidRDefault="000F7925" w:rsidP="00D12F38">
            <w:pPr>
              <w:rPr>
                <w:rFonts w:ascii="Tahoma" w:hAnsi="Tahoma" w:cs="Tahoma"/>
                <w:b/>
                <w:sz w:val="20"/>
                <w:szCs w:val="20"/>
                <w:lang w:val="en-US"/>
              </w:rPr>
            </w:pPr>
            <w:r w:rsidRPr="0064741B">
              <w:rPr>
                <w:rFonts w:ascii="Tahoma" w:hAnsi="Tahoma" w:cs="Tahoma"/>
                <w:b/>
                <w:sz w:val="20"/>
                <w:szCs w:val="20"/>
                <w:lang w:val="en-US"/>
              </w:rPr>
              <w:t>Course outline:</w:t>
            </w:r>
          </w:p>
          <w:p w:rsidR="000F7925" w:rsidRDefault="000F7925" w:rsidP="00D12F38">
            <w:pPr>
              <w:rPr>
                <w:rFonts w:ascii="Tahoma" w:hAnsi="Tahoma" w:cs="Tahoma"/>
                <w:b/>
                <w:caps/>
                <w:sz w:val="20"/>
                <w:szCs w:val="20"/>
                <w:lang w:val="uk-UA"/>
              </w:rPr>
            </w:pPr>
          </w:p>
        </w:tc>
        <w:tc>
          <w:tcPr>
            <w:tcW w:w="563" w:type="dxa"/>
          </w:tcPr>
          <w:p w:rsidR="000F7925" w:rsidRPr="0064741B" w:rsidRDefault="000F7925" w:rsidP="00D12F38">
            <w:pPr>
              <w:jc w:val="center"/>
              <w:rPr>
                <w:rFonts w:ascii="Tahoma" w:hAnsi="Tahoma" w:cs="Tahoma"/>
                <w:sz w:val="20"/>
                <w:szCs w:val="20"/>
                <w:lang w:val="en-US"/>
              </w:rPr>
            </w:pPr>
            <w:r w:rsidRPr="0064741B">
              <w:rPr>
                <w:rFonts w:ascii="Tahoma" w:hAnsi="Tahoma" w:cs="Tahoma"/>
                <w:sz w:val="20"/>
                <w:szCs w:val="20"/>
                <w:lang w:val="en-US"/>
              </w:rPr>
              <w:t>#</w:t>
            </w:r>
          </w:p>
        </w:tc>
        <w:tc>
          <w:tcPr>
            <w:tcW w:w="1138" w:type="dxa"/>
          </w:tcPr>
          <w:p w:rsidR="000F7925" w:rsidRPr="0064741B" w:rsidRDefault="000F7925" w:rsidP="00D12F38">
            <w:pPr>
              <w:jc w:val="center"/>
              <w:rPr>
                <w:rFonts w:ascii="Tahoma" w:hAnsi="Tahoma" w:cs="Tahoma"/>
                <w:sz w:val="20"/>
                <w:szCs w:val="20"/>
                <w:lang w:val="en-US"/>
              </w:rPr>
            </w:pPr>
            <w:r>
              <w:rPr>
                <w:rFonts w:ascii="Tahoma" w:hAnsi="Tahoma" w:cs="Tahoma"/>
                <w:sz w:val="20"/>
                <w:szCs w:val="20"/>
                <w:lang w:val="uk-UA"/>
              </w:rPr>
              <w:t>H</w:t>
            </w:r>
            <w:r w:rsidRPr="0064741B">
              <w:rPr>
                <w:rFonts w:ascii="Tahoma" w:hAnsi="Tahoma" w:cs="Tahoma"/>
                <w:sz w:val="20"/>
                <w:szCs w:val="20"/>
                <w:lang w:val="en-US"/>
              </w:rPr>
              <w:t>ours</w:t>
            </w:r>
          </w:p>
        </w:tc>
        <w:tc>
          <w:tcPr>
            <w:tcW w:w="5950" w:type="dxa"/>
          </w:tcPr>
          <w:p w:rsidR="000F7925" w:rsidRPr="0064741B" w:rsidRDefault="000F7925" w:rsidP="00D12F38">
            <w:pPr>
              <w:jc w:val="center"/>
              <w:rPr>
                <w:rFonts w:ascii="Tahoma" w:hAnsi="Tahoma" w:cs="Tahoma"/>
                <w:sz w:val="20"/>
                <w:szCs w:val="20"/>
                <w:lang w:val="en-US"/>
              </w:rPr>
            </w:pPr>
            <w:r w:rsidRPr="0064741B">
              <w:rPr>
                <w:rFonts w:ascii="Tahoma" w:hAnsi="Tahoma" w:cs="Tahoma"/>
                <w:sz w:val="20"/>
                <w:szCs w:val="20"/>
                <w:lang w:val="en-US"/>
              </w:rPr>
              <w:t>Topic</w:t>
            </w:r>
          </w:p>
        </w:tc>
      </w:tr>
      <w:tr w:rsidR="000F7925" w:rsidTr="00A00FEC">
        <w:tc>
          <w:tcPr>
            <w:tcW w:w="1812" w:type="dxa"/>
            <w:vMerge/>
          </w:tcPr>
          <w:p w:rsidR="000F7925" w:rsidRPr="0064741B" w:rsidRDefault="000F7925" w:rsidP="00D12F38">
            <w:pPr>
              <w:rPr>
                <w:rFonts w:ascii="Tahoma" w:hAnsi="Tahoma" w:cs="Tahoma"/>
                <w:b/>
                <w:sz w:val="20"/>
                <w:szCs w:val="20"/>
                <w:lang w:val="en-US"/>
              </w:rPr>
            </w:pPr>
          </w:p>
        </w:tc>
        <w:tc>
          <w:tcPr>
            <w:tcW w:w="563" w:type="dxa"/>
          </w:tcPr>
          <w:p w:rsidR="000F7925" w:rsidRPr="0064741B" w:rsidRDefault="000F7925" w:rsidP="00D12F38">
            <w:pPr>
              <w:rPr>
                <w:rFonts w:ascii="Tahoma" w:hAnsi="Tahoma" w:cs="Tahoma"/>
                <w:sz w:val="20"/>
                <w:szCs w:val="20"/>
                <w:lang w:val="en-US"/>
              </w:rPr>
            </w:pPr>
            <w:r w:rsidRPr="0064741B">
              <w:rPr>
                <w:rFonts w:ascii="Tahoma" w:hAnsi="Tahoma" w:cs="Tahoma"/>
                <w:sz w:val="20"/>
                <w:szCs w:val="20"/>
                <w:lang w:val="en-US"/>
              </w:rPr>
              <w:t>1</w:t>
            </w:r>
          </w:p>
        </w:tc>
        <w:tc>
          <w:tcPr>
            <w:tcW w:w="1138" w:type="dxa"/>
          </w:tcPr>
          <w:p w:rsidR="000F7925" w:rsidRPr="0064741B" w:rsidRDefault="000F7925" w:rsidP="00D12F38">
            <w:pPr>
              <w:tabs>
                <w:tab w:val="num" w:pos="2619"/>
              </w:tabs>
              <w:spacing w:after="240"/>
              <w:jc w:val="center"/>
              <w:rPr>
                <w:rFonts w:ascii="Tahoma" w:hAnsi="Tahoma" w:cs="Tahoma"/>
                <w:sz w:val="20"/>
                <w:szCs w:val="20"/>
                <w:lang w:val="en-US"/>
              </w:rPr>
            </w:pPr>
            <w:r>
              <w:rPr>
                <w:rFonts w:ascii="Tahoma" w:hAnsi="Tahoma" w:cs="Tahoma"/>
                <w:sz w:val="20"/>
                <w:szCs w:val="20"/>
                <w:lang w:val="en-US"/>
              </w:rPr>
              <w:t>6</w:t>
            </w:r>
          </w:p>
        </w:tc>
        <w:tc>
          <w:tcPr>
            <w:tcW w:w="5950" w:type="dxa"/>
          </w:tcPr>
          <w:p w:rsidR="000F7925" w:rsidRPr="0064741B" w:rsidRDefault="000F7925" w:rsidP="00D12F38">
            <w:pPr>
              <w:tabs>
                <w:tab w:val="num" w:pos="2619"/>
              </w:tabs>
              <w:jc w:val="both"/>
              <w:rPr>
                <w:rFonts w:ascii="Tahoma" w:hAnsi="Tahoma" w:cs="Tahoma"/>
                <w:sz w:val="20"/>
                <w:szCs w:val="20"/>
                <w:lang w:val="en-US"/>
              </w:rPr>
            </w:pPr>
            <w:r w:rsidRPr="0064741B">
              <w:rPr>
                <w:rFonts w:ascii="Tahoma" w:hAnsi="Tahoma" w:cs="Tahoma"/>
                <w:sz w:val="20"/>
                <w:szCs w:val="20"/>
                <w:lang w:val="en-US"/>
              </w:rPr>
              <w:t>The EU – when and where from did it come?</w:t>
            </w:r>
          </w:p>
          <w:p w:rsidR="000F7925" w:rsidRPr="0064741B" w:rsidRDefault="000F7925" w:rsidP="00D12F38">
            <w:pPr>
              <w:pStyle w:val="a5"/>
              <w:numPr>
                <w:ilvl w:val="0"/>
                <w:numId w:val="1"/>
              </w:numPr>
              <w:contextualSpacing/>
              <w:rPr>
                <w:rFonts w:ascii="Tahoma" w:hAnsi="Tahoma" w:cs="Tahoma"/>
                <w:sz w:val="20"/>
                <w:szCs w:val="20"/>
                <w:lang w:val="en-US"/>
              </w:rPr>
            </w:pPr>
            <w:r w:rsidRPr="0064741B">
              <w:rPr>
                <w:rFonts w:ascii="Tahoma" w:hAnsi="Tahoma" w:cs="Tahoma"/>
                <w:sz w:val="20"/>
                <w:szCs w:val="20"/>
                <w:lang w:val="en-US"/>
              </w:rPr>
              <w:t>‘Fathers’ of the European integration and preconditions for Paris and Rome Treaties</w:t>
            </w:r>
          </w:p>
          <w:p w:rsidR="000F7925" w:rsidRPr="0064741B" w:rsidRDefault="000F7925" w:rsidP="00D12F38">
            <w:pPr>
              <w:pStyle w:val="a5"/>
              <w:numPr>
                <w:ilvl w:val="0"/>
                <w:numId w:val="1"/>
              </w:numPr>
              <w:contextualSpacing/>
              <w:rPr>
                <w:rFonts w:ascii="Tahoma" w:hAnsi="Tahoma" w:cs="Tahoma"/>
                <w:sz w:val="20"/>
                <w:szCs w:val="20"/>
                <w:lang w:val="en-US"/>
              </w:rPr>
            </w:pPr>
            <w:r w:rsidRPr="0064741B">
              <w:rPr>
                <w:rFonts w:ascii="Tahoma" w:hAnsi="Tahoma" w:cs="Tahoma"/>
                <w:sz w:val="20"/>
                <w:szCs w:val="20"/>
                <w:lang w:val="en-US"/>
              </w:rPr>
              <w:t>Why three Communities? Merger treaty.</w:t>
            </w:r>
          </w:p>
          <w:p w:rsidR="000F7925" w:rsidRPr="0064741B" w:rsidRDefault="000F7925" w:rsidP="00D12F38">
            <w:pPr>
              <w:pStyle w:val="a5"/>
              <w:numPr>
                <w:ilvl w:val="0"/>
                <w:numId w:val="1"/>
              </w:numPr>
              <w:contextualSpacing/>
              <w:rPr>
                <w:rFonts w:ascii="Tahoma" w:hAnsi="Tahoma" w:cs="Tahoma"/>
                <w:sz w:val="20"/>
                <w:szCs w:val="20"/>
                <w:lang w:val="en-US"/>
              </w:rPr>
            </w:pPr>
            <w:r w:rsidRPr="0064741B">
              <w:rPr>
                <w:rFonts w:ascii="Tahoma" w:hAnsi="Tahoma" w:cs="Tahoma"/>
                <w:sz w:val="20"/>
                <w:szCs w:val="20"/>
                <w:lang w:val="en-US"/>
              </w:rPr>
              <w:t>Evolution of the Communitarian policies. Stages of integration.</w:t>
            </w:r>
          </w:p>
          <w:p w:rsidR="000F7925" w:rsidRPr="0064741B" w:rsidRDefault="000F7925" w:rsidP="00D12F38">
            <w:pPr>
              <w:pStyle w:val="a5"/>
              <w:numPr>
                <w:ilvl w:val="0"/>
                <w:numId w:val="1"/>
              </w:numPr>
              <w:contextualSpacing/>
              <w:rPr>
                <w:rFonts w:ascii="Tahoma" w:hAnsi="Tahoma" w:cs="Tahoma"/>
                <w:sz w:val="20"/>
                <w:szCs w:val="20"/>
                <w:lang w:val="en-US"/>
              </w:rPr>
            </w:pPr>
            <w:r w:rsidRPr="0064741B">
              <w:rPr>
                <w:rFonts w:ascii="Tahoma" w:hAnsi="Tahoma" w:cs="Tahoma"/>
                <w:sz w:val="20"/>
                <w:szCs w:val="20"/>
                <w:lang w:val="en-US"/>
              </w:rPr>
              <w:t>Historical modification of the EU primary legislation: from Paris to Lisbon</w:t>
            </w:r>
          </w:p>
          <w:p w:rsidR="000F7925" w:rsidRPr="0064741B" w:rsidRDefault="000F7925" w:rsidP="00D12F38">
            <w:pPr>
              <w:pStyle w:val="a5"/>
              <w:numPr>
                <w:ilvl w:val="0"/>
                <w:numId w:val="1"/>
              </w:numPr>
              <w:contextualSpacing/>
              <w:rPr>
                <w:rFonts w:ascii="Tahoma" w:hAnsi="Tahoma" w:cs="Tahoma"/>
                <w:sz w:val="20"/>
                <w:szCs w:val="20"/>
                <w:lang w:val="en-US"/>
              </w:rPr>
            </w:pPr>
            <w:r w:rsidRPr="0064741B">
              <w:rPr>
                <w:rFonts w:ascii="Tahoma" w:hAnsi="Tahoma" w:cs="Tahoma"/>
                <w:sz w:val="20"/>
                <w:szCs w:val="20"/>
                <w:lang w:val="en-US"/>
              </w:rPr>
              <w:t>Waves of the EU enlargement: when will the calm come?</w:t>
            </w:r>
          </w:p>
          <w:p w:rsidR="000F7925" w:rsidRPr="0064741B" w:rsidRDefault="000F7925" w:rsidP="00D12F38">
            <w:pPr>
              <w:pStyle w:val="a5"/>
              <w:numPr>
                <w:ilvl w:val="0"/>
                <w:numId w:val="1"/>
              </w:numPr>
              <w:contextualSpacing/>
              <w:rPr>
                <w:rFonts w:ascii="Tahoma" w:hAnsi="Tahoma" w:cs="Tahoma"/>
                <w:sz w:val="20"/>
                <w:szCs w:val="20"/>
                <w:lang w:val="en-US"/>
              </w:rPr>
            </w:pPr>
            <w:r w:rsidRPr="0064741B">
              <w:rPr>
                <w:rFonts w:ascii="Tahoma" w:hAnsi="Tahoma" w:cs="Tahoma"/>
                <w:sz w:val="20"/>
                <w:szCs w:val="20"/>
                <w:lang w:val="en-US"/>
              </w:rPr>
              <w:t>Avoiding term confusions: ECSC, Euratom, EEC, EC, EU; European Council, Council of the EU, Council of Europe.</w:t>
            </w:r>
          </w:p>
        </w:tc>
      </w:tr>
      <w:tr w:rsidR="000F7925" w:rsidTr="00A00FEC">
        <w:tc>
          <w:tcPr>
            <w:tcW w:w="1812" w:type="dxa"/>
            <w:vMerge/>
          </w:tcPr>
          <w:p w:rsidR="000F7925" w:rsidRPr="0064741B" w:rsidRDefault="000F7925" w:rsidP="00D12F38">
            <w:pPr>
              <w:rPr>
                <w:rFonts w:ascii="Tahoma" w:hAnsi="Tahoma" w:cs="Tahoma"/>
                <w:b/>
                <w:sz w:val="20"/>
                <w:szCs w:val="20"/>
                <w:lang w:val="en-US"/>
              </w:rPr>
            </w:pPr>
          </w:p>
        </w:tc>
        <w:tc>
          <w:tcPr>
            <w:tcW w:w="563" w:type="dxa"/>
          </w:tcPr>
          <w:p w:rsidR="000F7925" w:rsidRPr="0064741B" w:rsidRDefault="000F7925" w:rsidP="00D12F38">
            <w:pPr>
              <w:rPr>
                <w:rFonts w:ascii="Tahoma" w:hAnsi="Tahoma" w:cs="Tahoma"/>
                <w:sz w:val="20"/>
                <w:szCs w:val="20"/>
                <w:lang w:val="en-US"/>
              </w:rPr>
            </w:pPr>
            <w:r w:rsidRPr="0064741B">
              <w:rPr>
                <w:rFonts w:ascii="Tahoma" w:hAnsi="Tahoma" w:cs="Tahoma"/>
                <w:sz w:val="20"/>
                <w:szCs w:val="20"/>
                <w:lang w:val="en-US"/>
              </w:rPr>
              <w:t>2</w:t>
            </w:r>
          </w:p>
        </w:tc>
        <w:tc>
          <w:tcPr>
            <w:tcW w:w="1138" w:type="dxa"/>
          </w:tcPr>
          <w:p w:rsidR="000F7925" w:rsidRPr="0064741B" w:rsidRDefault="000F7925" w:rsidP="00D12F38">
            <w:pPr>
              <w:tabs>
                <w:tab w:val="num" w:pos="2619"/>
              </w:tabs>
              <w:spacing w:after="240"/>
              <w:jc w:val="center"/>
              <w:rPr>
                <w:rFonts w:ascii="Tahoma" w:hAnsi="Tahoma" w:cs="Tahoma"/>
                <w:sz w:val="20"/>
                <w:szCs w:val="20"/>
                <w:lang w:val="en-US"/>
              </w:rPr>
            </w:pPr>
            <w:r>
              <w:rPr>
                <w:rFonts w:ascii="Tahoma" w:hAnsi="Tahoma" w:cs="Tahoma"/>
                <w:sz w:val="20"/>
                <w:szCs w:val="20"/>
                <w:lang w:val="en-US"/>
              </w:rPr>
              <w:t>6</w:t>
            </w:r>
          </w:p>
        </w:tc>
        <w:tc>
          <w:tcPr>
            <w:tcW w:w="5950" w:type="dxa"/>
          </w:tcPr>
          <w:p w:rsidR="000F7925" w:rsidRPr="0064741B" w:rsidRDefault="000F7925" w:rsidP="00D12F38">
            <w:pPr>
              <w:tabs>
                <w:tab w:val="num" w:pos="2619"/>
              </w:tabs>
              <w:autoSpaceDE w:val="0"/>
              <w:autoSpaceDN w:val="0"/>
              <w:adjustRightInd w:val="0"/>
              <w:jc w:val="both"/>
              <w:rPr>
                <w:rFonts w:ascii="Tahoma" w:hAnsi="Tahoma" w:cs="Tahoma"/>
                <w:sz w:val="20"/>
                <w:szCs w:val="20"/>
                <w:lang w:val="en-US"/>
              </w:rPr>
            </w:pPr>
            <w:r w:rsidRPr="0064741B">
              <w:rPr>
                <w:rFonts w:ascii="Tahoma" w:hAnsi="Tahoma" w:cs="Tahoma"/>
                <w:sz w:val="20"/>
                <w:szCs w:val="20"/>
                <w:lang w:val="en-US"/>
              </w:rPr>
              <w:t>The EU – how does it work?</w:t>
            </w:r>
          </w:p>
          <w:p w:rsidR="000F7925" w:rsidRPr="0064741B" w:rsidRDefault="000F7925" w:rsidP="00D12F38">
            <w:pPr>
              <w:pStyle w:val="a5"/>
              <w:numPr>
                <w:ilvl w:val="0"/>
                <w:numId w:val="1"/>
              </w:numPr>
              <w:autoSpaceDE w:val="0"/>
              <w:autoSpaceDN w:val="0"/>
              <w:adjustRightInd w:val="0"/>
              <w:contextualSpacing/>
              <w:rPr>
                <w:rFonts w:ascii="Tahoma" w:hAnsi="Tahoma" w:cs="Tahoma"/>
                <w:sz w:val="20"/>
                <w:szCs w:val="20"/>
                <w:lang w:val="en-US"/>
              </w:rPr>
            </w:pPr>
            <w:r w:rsidRPr="0064741B">
              <w:rPr>
                <w:rFonts w:ascii="Tahoma" w:hAnsi="Tahoma" w:cs="Tahoma"/>
                <w:sz w:val="20"/>
                <w:szCs w:val="20"/>
                <w:lang w:val="en-US"/>
              </w:rPr>
              <w:t>Institutional arrangements in the EU</w:t>
            </w:r>
          </w:p>
          <w:p w:rsidR="000F7925" w:rsidRPr="0064741B" w:rsidRDefault="000F7925" w:rsidP="00D12F38">
            <w:pPr>
              <w:pStyle w:val="a5"/>
              <w:numPr>
                <w:ilvl w:val="0"/>
                <w:numId w:val="1"/>
              </w:numPr>
              <w:autoSpaceDE w:val="0"/>
              <w:autoSpaceDN w:val="0"/>
              <w:adjustRightInd w:val="0"/>
              <w:contextualSpacing/>
              <w:rPr>
                <w:rFonts w:ascii="Tahoma" w:hAnsi="Tahoma" w:cs="Tahoma"/>
                <w:sz w:val="20"/>
                <w:szCs w:val="20"/>
                <w:lang w:val="en-US"/>
              </w:rPr>
            </w:pPr>
            <w:r w:rsidRPr="0064741B">
              <w:rPr>
                <w:rFonts w:ascii="Tahoma" w:hAnsi="Tahoma" w:cs="Tahoma"/>
                <w:sz w:val="20"/>
                <w:szCs w:val="20"/>
                <w:lang w:val="en-US"/>
              </w:rPr>
              <w:t>The EU decision-making labyrinth</w:t>
            </w:r>
          </w:p>
          <w:p w:rsidR="000F7925" w:rsidRPr="0064741B" w:rsidRDefault="000F7925" w:rsidP="00D12F38">
            <w:pPr>
              <w:pStyle w:val="a5"/>
              <w:numPr>
                <w:ilvl w:val="0"/>
                <w:numId w:val="1"/>
              </w:numPr>
              <w:autoSpaceDE w:val="0"/>
              <w:autoSpaceDN w:val="0"/>
              <w:adjustRightInd w:val="0"/>
              <w:contextualSpacing/>
              <w:rPr>
                <w:rFonts w:ascii="Tahoma" w:hAnsi="Tahoma" w:cs="Tahoma"/>
                <w:sz w:val="20"/>
                <w:szCs w:val="20"/>
                <w:lang w:val="en-US"/>
              </w:rPr>
            </w:pPr>
            <w:r w:rsidRPr="0064741B">
              <w:rPr>
                <w:rFonts w:ascii="Tahoma" w:hAnsi="Tahoma" w:cs="Tahoma"/>
                <w:sz w:val="20"/>
                <w:szCs w:val="20"/>
                <w:lang w:val="en-US"/>
              </w:rPr>
              <w:t>European Parliament</w:t>
            </w:r>
          </w:p>
          <w:p w:rsidR="000F7925" w:rsidRPr="0064741B" w:rsidRDefault="000F7925" w:rsidP="00D12F38">
            <w:pPr>
              <w:pStyle w:val="a5"/>
              <w:numPr>
                <w:ilvl w:val="0"/>
                <w:numId w:val="1"/>
              </w:numPr>
              <w:autoSpaceDE w:val="0"/>
              <w:autoSpaceDN w:val="0"/>
              <w:adjustRightInd w:val="0"/>
              <w:contextualSpacing/>
              <w:rPr>
                <w:rFonts w:ascii="Tahoma" w:hAnsi="Tahoma" w:cs="Tahoma"/>
                <w:sz w:val="20"/>
                <w:szCs w:val="20"/>
                <w:lang w:val="en-US"/>
              </w:rPr>
            </w:pPr>
            <w:r w:rsidRPr="0064741B">
              <w:rPr>
                <w:rFonts w:ascii="Tahoma" w:hAnsi="Tahoma" w:cs="Tahoma"/>
                <w:sz w:val="20"/>
                <w:szCs w:val="20"/>
                <w:lang w:val="en-US"/>
              </w:rPr>
              <w:t xml:space="preserve">European Council and EU Council </w:t>
            </w:r>
          </w:p>
          <w:p w:rsidR="000F7925" w:rsidRPr="0064741B" w:rsidRDefault="000F7925" w:rsidP="00D12F38">
            <w:pPr>
              <w:pStyle w:val="a5"/>
              <w:numPr>
                <w:ilvl w:val="0"/>
                <w:numId w:val="1"/>
              </w:numPr>
              <w:autoSpaceDE w:val="0"/>
              <w:autoSpaceDN w:val="0"/>
              <w:adjustRightInd w:val="0"/>
              <w:contextualSpacing/>
              <w:rPr>
                <w:rFonts w:ascii="Tahoma" w:hAnsi="Tahoma" w:cs="Tahoma"/>
                <w:sz w:val="20"/>
                <w:szCs w:val="20"/>
                <w:lang w:val="en-US"/>
              </w:rPr>
            </w:pPr>
            <w:r w:rsidRPr="0064741B">
              <w:rPr>
                <w:rFonts w:ascii="Tahoma" w:hAnsi="Tahoma" w:cs="Tahoma"/>
                <w:sz w:val="20"/>
                <w:szCs w:val="20"/>
                <w:lang w:val="en-US"/>
              </w:rPr>
              <w:t>European Commission</w:t>
            </w:r>
          </w:p>
          <w:p w:rsidR="000F7925" w:rsidRPr="0064741B" w:rsidRDefault="000F7925" w:rsidP="00D12F38">
            <w:pPr>
              <w:pStyle w:val="a5"/>
              <w:numPr>
                <w:ilvl w:val="0"/>
                <w:numId w:val="1"/>
              </w:numPr>
              <w:autoSpaceDE w:val="0"/>
              <w:autoSpaceDN w:val="0"/>
              <w:adjustRightInd w:val="0"/>
              <w:contextualSpacing/>
              <w:rPr>
                <w:rFonts w:ascii="Tahoma" w:hAnsi="Tahoma" w:cs="Tahoma"/>
                <w:sz w:val="20"/>
                <w:szCs w:val="20"/>
                <w:lang w:val="en-US"/>
              </w:rPr>
            </w:pPr>
            <w:r w:rsidRPr="0064741B">
              <w:rPr>
                <w:rFonts w:ascii="Tahoma" w:hAnsi="Tahoma" w:cs="Tahoma"/>
                <w:sz w:val="20"/>
                <w:szCs w:val="20"/>
                <w:lang w:val="en-US"/>
              </w:rPr>
              <w:t>Other EU institutions and bodies</w:t>
            </w:r>
          </w:p>
        </w:tc>
      </w:tr>
      <w:tr w:rsidR="000F7925" w:rsidTr="00A00FEC">
        <w:tc>
          <w:tcPr>
            <w:tcW w:w="1812" w:type="dxa"/>
            <w:vMerge/>
          </w:tcPr>
          <w:p w:rsidR="000F7925" w:rsidRPr="0064741B" w:rsidRDefault="000F7925" w:rsidP="00D12F38">
            <w:pPr>
              <w:rPr>
                <w:rFonts w:ascii="Tahoma" w:hAnsi="Tahoma" w:cs="Tahoma"/>
                <w:b/>
                <w:sz w:val="20"/>
                <w:szCs w:val="20"/>
                <w:lang w:val="en-US"/>
              </w:rPr>
            </w:pPr>
          </w:p>
        </w:tc>
        <w:tc>
          <w:tcPr>
            <w:tcW w:w="563" w:type="dxa"/>
          </w:tcPr>
          <w:p w:rsidR="000F7925" w:rsidRPr="0064741B" w:rsidRDefault="000F7925" w:rsidP="00D12F38">
            <w:pPr>
              <w:rPr>
                <w:rFonts w:ascii="Tahoma" w:hAnsi="Tahoma" w:cs="Tahoma"/>
                <w:sz w:val="20"/>
                <w:szCs w:val="20"/>
                <w:lang w:val="en-US"/>
              </w:rPr>
            </w:pPr>
            <w:r w:rsidRPr="0064741B">
              <w:rPr>
                <w:rFonts w:ascii="Tahoma" w:hAnsi="Tahoma" w:cs="Tahoma"/>
                <w:sz w:val="20"/>
                <w:szCs w:val="20"/>
                <w:lang w:val="en-US"/>
              </w:rPr>
              <w:t>3</w:t>
            </w:r>
          </w:p>
        </w:tc>
        <w:tc>
          <w:tcPr>
            <w:tcW w:w="1138" w:type="dxa"/>
          </w:tcPr>
          <w:p w:rsidR="000F7925" w:rsidRPr="0064741B" w:rsidRDefault="000F7925" w:rsidP="00D12F38">
            <w:pPr>
              <w:tabs>
                <w:tab w:val="num" w:pos="2619"/>
              </w:tabs>
              <w:spacing w:after="240"/>
              <w:jc w:val="center"/>
              <w:rPr>
                <w:rFonts w:ascii="Tahoma" w:hAnsi="Tahoma" w:cs="Tahoma"/>
                <w:sz w:val="20"/>
                <w:szCs w:val="20"/>
                <w:lang w:val="en-US"/>
              </w:rPr>
            </w:pPr>
            <w:r>
              <w:rPr>
                <w:rFonts w:ascii="Tahoma" w:hAnsi="Tahoma" w:cs="Tahoma"/>
                <w:sz w:val="20"/>
                <w:szCs w:val="20"/>
                <w:lang w:val="en-US"/>
              </w:rPr>
              <w:t>6</w:t>
            </w:r>
          </w:p>
        </w:tc>
        <w:tc>
          <w:tcPr>
            <w:tcW w:w="5950" w:type="dxa"/>
          </w:tcPr>
          <w:p w:rsidR="000F7925" w:rsidRPr="0064741B" w:rsidRDefault="000F7925" w:rsidP="00D12F38">
            <w:pPr>
              <w:tabs>
                <w:tab w:val="num" w:pos="2619"/>
                <w:tab w:val="center" w:pos="3843"/>
              </w:tabs>
              <w:jc w:val="both"/>
              <w:rPr>
                <w:rFonts w:ascii="Tahoma" w:hAnsi="Tahoma" w:cs="Tahoma"/>
                <w:sz w:val="20"/>
                <w:szCs w:val="20"/>
                <w:lang w:val="en-US"/>
              </w:rPr>
            </w:pPr>
            <w:r w:rsidRPr="0064741B">
              <w:rPr>
                <w:rFonts w:ascii="Tahoma" w:hAnsi="Tahoma" w:cs="Tahoma"/>
                <w:sz w:val="20"/>
                <w:szCs w:val="20"/>
                <w:lang w:val="en-US"/>
              </w:rPr>
              <w:t>The EU – what are the rules of play?</w:t>
            </w:r>
          </w:p>
          <w:p w:rsidR="000F7925" w:rsidRPr="0064741B" w:rsidRDefault="000F7925" w:rsidP="00D12F38">
            <w:pPr>
              <w:pStyle w:val="a5"/>
              <w:numPr>
                <w:ilvl w:val="0"/>
                <w:numId w:val="1"/>
              </w:numPr>
              <w:tabs>
                <w:tab w:val="center" w:pos="743"/>
              </w:tabs>
              <w:contextualSpacing/>
              <w:rPr>
                <w:rFonts w:ascii="Tahoma" w:hAnsi="Tahoma" w:cs="Tahoma"/>
                <w:sz w:val="20"/>
                <w:szCs w:val="20"/>
                <w:lang w:val="en-US"/>
              </w:rPr>
            </w:pPr>
            <w:r w:rsidRPr="0064741B">
              <w:rPr>
                <w:rFonts w:ascii="Tahoma" w:hAnsi="Tahoma" w:cs="Tahoma"/>
                <w:sz w:val="20"/>
                <w:szCs w:val="20"/>
                <w:lang w:val="en-US"/>
              </w:rPr>
              <w:t>Types and hierarchy of legislative acts</w:t>
            </w:r>
          </w:p>
          <w:p w:rsidR="000F7925" w:rsidRPr="0064741B" w:rsidRDefault="000F7925" w:rsidP="00D12F38">
            <w:pPr>
              <w:pStyle w:val="a5"/>
              <w:numPr>
                <w:ilvl w:val="0"/>
                <w:numId w:val="1"/>
              </w:numPr>
              <w:tabs>
                <w:tab w:val="center" w:pos="743"/>
              </w:tabs>
              <w:contextualSpacing/>
              <w:rPr>
                <w:rFonts w:ascii="Tahoma" w:hAnsi="Tahoma" w:cs="Tahoma"/>
                <w:sz w:val="20"/>
                <w:szCs w:val="20"/>
                <w:lang w:val="en-US"/>
              </w:rPr>
            </w:pPr>
            <w:r w:rsidRPr="0064741B">
              <w:rPr>
                <w:rFonts w:ascii="Tahoma" w:hAnsi="Tahoma" w:cs="Tahoma"/>
                <w:sz w:val="20"/>
                <w:szCs w:val="20"/>
                <w:lang w:val="en-US"/>
              </w:rPr>
              <w:t>Primary EU legislation</w:t>
            </w:r>
          </w:p>
          <w:p w:rsidR="000F7925" w:rsidRPr="0064741B" w:rsidRDefault="000F7925" w:rsidP="00D12F38">
            <w:pPr>
              <w:pStyle w:val="a5"/>
              <w:numPr>
                <w:ilvl w:val="0"/>
                <w:numId w:val="1"/>
              </w:numPr>
              <w:tabs>
                <w:tab w:val="center" w:pos="743"/>
              </w:tabs>
              <w:contextualSpacing/>
              <w:rPr>
                <w:rFonts w:ascii="Tahoma" w:hAnsi="Tahoma" w:cs="Tahoma"/>
                <w:sz w:val="20"/>
                <w:szCs w:val="20"/>
                <w:lang w:val="en-US"/>
              </w:rPr>
            </w:pPr>
            <w:r w:rsidRPr="0064741B">
              <w:rPr>
                <w:rFonts w:ascii="Tahoma" w:hAnsi="Tahoma" w:cs="Tahoma"/>
                <w:sz w:val="20"/>
                <w:szCs w:val="20"/>
                <w:lang w:val="en-US"/>
              </w:rPr>
              <w:t>Secondary EU legislation</w:t>
            </w:r>
          </w:p>
          <w:p w:rsidR="000F7925" w:rsidRPr="0064741B" w:rsidRDefault="000F7925" w:rsidP="00D12F38">
            <w:pPr>
              <w:pStyle w:val="a5"/>
              <w:numPr>
                <w:ilvl w:val="0"/>
                <w:numId w:val="1"/>
              </w:numPr>
              <w:tabs>
                <w:tab w:val="center" w:pos="743"/>
              </w:tabs>
              <w:contextualSpacing/>
              <w:rPr>
                <w:rFonts w:ascii="Tahoma" w:hAnsi="Tahoma" w:cs="Tahoma"/>
                <w:sz w:val="20"/>
                <w:szCs w:val="20"/>
                <w:lang w:val="en-US"/>
              </w:rPr>
            </w:pPr>
            <w:r w:rsidRPr="0064741B">
              <w:rPr>
                <w:rFonts w:ascii="Tahoma" w:hAnsi="Tahoma" w:cs="Tahoma"/>
                <w:sz w:val="20"/>
                <w:szCs w:val="20"/>
                <w:lang w:val="en-US"/>
              </w:rPr>
              <w:t>Soft law</w:t>
            </w:r>
          </w:p>
          <w:p w:rsidR="000F7925" w:rsidRPr="0064741B" w:rsidRDefault="000F7925" w:rsidP="00D12F38">
            <w:pPr>
              <w:pStyle w:val="a5"/>
              <w:numPr>
                <w:ilvl w:val="0"/>
                <w:numId w:val="1"/>
              </w:numPr>
              <w:tabs>
                <w:tab w:val="center" w:pos="743"/>
              </w:tabs>
              <w:contextualSpacing/>
              <w:rPr>
                <w:rFonts w:ascii="Tahoma" w:hAnsi="Tahoma" w:cs="Tahoma"/>
                <w:sz w:val="20"/>
                <w:szCs w:val="20"/>
                <w:lang w:val="en-US"/>
              </w:rPr>
            </w:pPr>
            <w:r w:rsidRPr="0064741B">
              <w:rPr>
                <w:rFonts w:ascii="Tahoma" w:hAnsi="Tahoma" w:cs="Tahoma"/>
                <w:sz w:val="20"/>
                <w:szCs w:val="20"/>
                <w:lang w:val="en-US"/>
              </w:rPr>
              <w:t>Interinstitutional agreements and case law</w:t>
            </w:r>
          </w:p>
        </w:tc>
      </w:tr>
      <w:tr w:rsidR="000F7925" w:rsidTr="00A00FEC">
        <w:tc>
          <w:tcPr>
            <w:tcW w:w="1812" w:type="dxa"/>
            <w:vMerge/>
          </w:tcPr>
          <w:p w:rsidR="000F7925" w:rsidRPr="0064741B" w:rsidRDefault="000F7925" w:rsidP="00D12F38">
            <w:pPr>
              <w:rPr>
                <w:rFonts w:ascii="Tahoma" w:hAnsi="Tahoma" w:cs="Tahoma"/>
                <w:b/>
                <w:sz w:val="20"/>
                <w:szCs w:val="20"/>
                <w:lang w:val="en-US"/>
              </w:rPr>
            </w:pPr>
          </w:p>
        </w:tc>
        <w:tc>
          <w:tcPr>
            <w:tcW w:w="563" w:type="dxa"/>
          </w:tcPr>
          <w:p w:rsidR="000F7925" w:rsidRPr="0064741B" w:rsidRDefault="000F7925" w:rsidP="00D12F38">
            <w:pPr>
              <w:rPr>
                <w:rFonts w:ascii="Tahoma" w:hAnsi="Tahoma" w:cs="Tahoma"/>
                <w:sz w:val="20"/>
                <w:szCs w:val="20"/>
                <w:lang w:val="en-US"/>
              </w:rPr>
            </w:pPr>
            <w:r w:rsidRPr="0064741B">
              <w:rPr>
                <w:rFonts w:ascii="Tahoma" w:hAnsi="Tahoma" w:cs="Tahoma"/>
                <w:sz w:val="20"/>
                <w:szCs w:val="20"/>
                <w:lang w:val="en-US"/>
              </w:rPr>
              <w:t>4</w:t>
            </w:r>
          </w:p>
        </w:tc>
        <w:tc>
          <w:tcPr>
            <w:tcW w:w="1138" w:type="dxa"/>
          </w:tcPr>
          <w:p w:rsidR="000F7925" w:rsidRPr="0064741B" w:rsidRDefault="000F7925" w:rsidP="00D12F38">
            <w:pPr>
              <w:tabs>
                <w:tab w:val="num" w:pos="2619"/>
              </w:tabs>
              <w:spacing w:after="240"/>
              <w:jc w:val="center"/>
              <w:rPr>
                <w:rFonts w:ascii="Tahoma" w:hAnsi="Tahoma" w:cs="Tahoma"/>
                <w:sz w:val="20"/>
                <w:szCs w:val="20"/>
                <w:lang w:val="en-US"/>
              </w:rPr>
            </w:pPr>
            <w:r>
              <w:rPr>
                <w:rFonts w:ascii="Tahoma" w:hAnsi="Tahoma" w:cs="Tahoma"/>
                <w:sz w:val="20"/>
                <w:szCs w:val="20"/>
                <w:lang w:val="en-US"/>
              </w:rPr>
              <w:t>6</w:t>
            </w:r>
          </w:p>
        </w:tc>
        <w:tc>
          <w:tcPr>
            <w:tcW w:w="5950" w:type="dxa"/>
          </w:tcPr>
          <w:p w:rsidR="000F7925" w:rsidRPr="0064741B" w:rsidRDefault="000F7925" w:rsidP="00D12F38">
            <w:pPr>
              <w:tabs>
                <w:tab w:val="num" w:pos="2619"/>
              </w:tabs>
              <w:jc w:val="both"/>
              <w:rPr>
                <w:rFonts w:ascii="Tahoma" w:hAnsi="Tahoma" w:cs="Tahoma"/>
                <w:sz w:val="20"/>
                <w:szCs w:val="20"/>
                <w:lang w:val="en-US"/>
              </w:rPr>
            </w:pPr>
            <w:r w:rsidRPr="0064741B">
              <w:rPr>
                <w:rFonts w:ascii="Tahoma" w:hAnsi="Tahoma" w:cs="Tahoma"/>
                <w:sz w:val="20"/>
                <w:szCs w:val="20"/>
                <w:lang w:val="en-US"/>
              </w:rPr>
              <w:t>The EU – who pays and how is the money spent?</w:t>
            </w:r>
          </w:p>
          <w:p w:rsidR="000F7925" w:rsidRPr="0064741B" w:rsidRDefault="000F7925" w:rsidP="00D12F38">
            <w:pPr>
              <w:pStyle w:val="a5"/>
              <w:numPr>
                <w:ilvl w:val="0"/>
                <w:numId w:val="1"/>
              </w:numPr>
              <w:contextualSpacing/>
              <w:rPr>
                <w:rFonts w:ascii="Tahoma" w:hAnsi="Tahoma" w:cs="Tahoma"/>
                <w:sz w:val="20"/>
                <w:szCs w:val="20"/>
                <w:lang w:val="en-US"/>
              </w:rPr>
            </w:pPr>
            <w:r w:rsidRPr="0064741B">
              <w:rPr>
                <w:rFonts w:ascii="Tahoma" w:hAnsi="Tahoma" w:cs="Tahoma"/>
                <w:sz w:val="20"/>
                <w:szCs w:val="20"/>
                <w:lang w:val="en-US"/>
              </w:rPr>
              <w:t>Costs and benefits of the European integration project</w:t>
            </w:r>
          </w:p>
          <w:p w:rsidR="000F7925" w:rsidRPr="0064741B" w:rsidRDefault="000F7925" w:rsidP="00D12F38">
            <w:pPr>
              <w:pStyle w:val="a5"/>
              <w:numPr>
                <w:ilvl w:val="0"/>
                <w:numId w:val="1"/>
              </w:numPr>
              <w:contextualSpacing/>
              <w:rPr>
                <w:rFonts w:ascii="Tahoma" w:hAnsi="Tahoma" w:cs="Tahoma"/>
                <w:sz w:val="20"/>
                <w:szCs w:val="20"/>
                <w:lang w:val="en-US"/>
              </w:rPr>
            </w:pPr>
            <w:r w:rsidRPr="0064741B">
              <w:rPr>
                <w:rFonts w:ascii="Tahoma" w:hAnsi="Tahoma" w:cs="Tahoma"/>
                <w:sz w:val="20"/>
                <w:szCs w:val="20"/>
                <w:lang w:val="en-US"/>
              </w:rPr>
              <w:t>Why having national and supranational budgets?</w:t>
            </w:r>
          </w:p>
          <w:p w:rsidR="000F7925" w:rsidRPr="0064741B" w:rsidRDefault="000F7925" w:rsidP="00D12F38">
            <w:pPr>
              <w:pStyle w:val="a5"/>
              <w:numPr>
                <w:ilvl w:val="0"/>
                <w:numId w:val="1"/>
              </w:numPr>
              <w:contextualSpacing/>
              <w:rPr>
                <w:rFonts w:ascii="Tahoma" w:hAnsi="Tahoma" w:cs="Tahoma"/>
                <w:sz w:val="20"/>
                <w:szCs w:val="20"/>
                <w:lang w:val="en-US"/>
              </w:rPr>
            </w:pPr>
            <w:r w:rsidRPr="0064741B">
              <w:rPr>
                <w:rFonts w:ascii="Tahoma" w:hAnsi="Tahoma" w:cs="Tahoma"/>
                <w:sz w:val="20"/>
                <w:szCs w:val="20"/>
                <w:lang w:val="en-US"/>
              </w:rPr>
              <w:t>Revenue sources for the EU budget</w:t>
            </w:r>
          </w:p>
          <w:p w:rsidR="000F7925" w:rsidRPr="0064741B" w:rsidRDefault="000F7925" w:rsidP="00D12F38">
            <w:pPr>
              <w:pStyle w:val="a5"/>
              <w:numPr>
                <w:ilvl w:val="0"/>
                <w:numId w:val="1"/>
              </w:numPr>
              <w:contextualSpacing/>
              <w:rPr>
                <w:rFonts w:ascii="Tahoma" w:hAnsi="Tahoma" w:cs="Tahoma"/>
                <w:sz w:val="20"/>
                <w:szCs w:val="20"/>
                <w:lang w:val="en-US"/>
              </w:rPr>
            </w:pPr>
            <w:r w:rsidRPr="0064741B">
              <w:rPr>
                <w:rFonts w:ascii="Tahoma" w:hAnsi="Tahoma" w:cs="Tahoma"/>
                <w:sz w:val="20"/>
                <w:szCs w:val="20"/>
                <w:lang w:val="en-US"/>
              </w:rPr>
              <w:t>Structure of the EU expenditure</w:t>
            </w:r>
          </w:p>
          <w:p w:rsidR="000F7925" w:rsidRPr="0064741B" w:rsidRDefault="000F7925" w:rsidP="00D12F38">
            <w:pPr>
              <w:pStyle w:val="a5"/>
              <w:numPr>
                <w:ilvl w:val="0"/>
                <w:numId w:val="1"/>
              </w:numPr>
              <w:contextualSpacing/>
              <w:rPr>
                <w:rFonts w:ascii="Tahoma" w:hAnsi="Tahoma" w:cs="Tahoma"/>
                <w:sz w:val="20"/>
                <w:szCs w:val="20"/>
                <w:lang w:val="en-US"/>
              </w:rPr>
            </w:pPr>
            <w:r w:rsidRPr="0064741B">
              <w:rPr>
                <w:rFonts w:ascii="Tahoma" w:hAnsi="Tahoma" w:cs="Tahoma"/>
                <w:sz w:val="20"/>
                <w:szCs w:val="20"/>
                <w:lang w:val="en-US"/>
              </w:rPr>
              <w:t xml:space="preserve">Budgetary decision-making and net-benefit approach </w:t>
            </w:r>
          </w:p>
        </w:tc>
      </w:tr>
      <w:tr w:rsidR="000F7925" w:rsidTr="00A00FEC">
        <w:tc>
          <w:tcPr>
            <w:tcW w:w="1812" w:type="dxa"/>
            <w:vMerge/>
            <w:tcBorders>
              <w:bottom w:val="nil"/>
            </w:tcBorders>
          </w:tcPr>
          <w:p w:rsidR="000F7925" w:rsidRPr="0064741B" w:rsidRDefault="000F7925" w:rsidP="00D12F38">
            <w:pPr>
              <w:rPr>
                <w:rFonts w:ascii="Tahoma" w:hAnsi="Tahoma" w:cs="Tahoma"/>
                <w:b/>
                <w:sz w:val="20"/>
                <w:szCs w:val="20"/>
                <w:lang w:val="en-US"/>
              </w:rPr>
            </w:pPr>
          </w:p>
        </w:tc>
        <w:tc>
          <w:tcPr>
            <w:tcW w:w="563" w:type="dxa"/>
          </w:tcPr>
          <w:p w:rsidR="000F7925" w:rsidRPr="0064741B" w:rsidRDefault="000F7925" w:rsidP="00D12F38">
            <w:pPr>
              <w:rPr>
                <w:rFonts w:ascii="Tahoma" w:hAnsi="Tahoma" w:cs="Tahoma"/>
                <w:sz w:val="20"/>
                <w:szCs w:val="20"/>
                <w:lang w:val="en-US"/>
              </w:rPr>
            </w:pPr>
            <w:r w:rsidRPr="0064741B">
              <w:rPr>
                <w:rFonts w:ascii="Tahoma" w:hAnsi="Tahoma" w:cs="Tahoma"/>
                <w:sz w:val="20"/>
                <w:szCs w:val="20"/>
                <w:lang w:val="en-US"/>
              </w:rPr>
              <w:t>5</w:t>
            </w:r>
          </w:p>
        </w:tc>
        <w:tc>
          <w:tcPr>
            <w:tcW w:w="1138" w:type="dxa"/>
          </w:tcPr>
          <w:p w:rsidR="000F7925" w:rsidRPr="0064741B" w:rsidRDefault="000F7925" w:rsidP="00D12F38">
            <w:pPr>
              <w:tabs>
                <w:tab w:val="num" w:pos="2619"/>
              </w:tabs>
              <w:spacing w:after="240"/>
              <w:jc w:val="center"/>
              <w:rPr>
                <w:rFonts w:ascii="Tahoma" w:hAnsi="Tahoma" w:cs="Tahoma"/>
                <w:sz w:val="20"/>
                <w:szCs w:val="20"/>
                <w:lang w:val="en-US"/>
              </w:rPr>
            </w:pPr>
            <w:r>
              <w:rPr>
                <w:rFonts w:ascii="Tahoma" w:hAnsi="Tahoma" w:cs="Tahoma"/>
                <w:sz w:val="20"/>
                <w:szCs w:val="20"/>
                <w:lang w:val="en-US"/>
              </w:rPr>
              <w:t>12</w:t>
            </w:r>
          </w:p>
        </w:tc>
        <w:tc>
          <w:tcPr>
            <w:tcW w:w="5950" w:type="dxa"/>
          </w:tcPr>
          <w:p w:rsidR="000F7925" w:rsidRPr="0064741B" w:rsidRDefault="000F7925" w:rsidP="00D12F38">
            <w:pPr>
              <w:tabs>
                <w:tab w:val="num" w:pos="2619"/>
              </w:tabs>
              <w:jc w:val="both"/>
              <w:rPr>
                <w:rFonts w:ascii="Tahoma" w:hAnsi="Tahoma" w:cs="Tahoma"/>
                <w:sz w:val="20"/>
                <w:szCs w:val="20"/>
                <w:lang w:val="en-US"/>
              </w:rPr>
            </w:pPr>
            <w:r w:rsidRPr="0064741B">
              <w:rPr>
                <w:rFonts w:ascii="Tahoma" w:hAnsi="Tahoma" w:cs="Tahoma"/>
                <w:sz w:val="20"/>
                <w:szCs w:val="20"/>
                <w:lang w:val="en-US"/>
              </w:rPr>
              <w:t>The EU – policy areas</w:t>
            </w:r>
          </w:p>
          <w:p w:rsidR="000F7925" w:rsidRPr="0064741B" w:rsidRDefault="000F7925" w:rsidP="00D12F38">
            <w:pPr>
              <w:pStyle w:val="a5"/>
              <w:numPr>
                <w:ilvl w:val="0"/>
                <w:numId w:val="1"/>
              </w:numPr>
              <w:contextualSpacing/>
              <w:rPr>
                <w:rFonts w:ascii="Tahoma" w:hAnsi="Tahoma" w:cs="Tahoma"/>
                <w:sz w:val="20"/>
                <w:szCs w:val="20"/>
                <w:lang w:val="en-US"/>
              </w:rPr>
            </w:pPr>
            <w:r w:rsidRPr="0064741B">
              <w:rPr>
                <w:rFonts w:ascii="Tahoma" w:hAnsi="Tahoma" w:cs="Tahoma"/>
                <w:sz w:val="20"/>
                <w:szCs w:val="20"/>
                <w:lang w:val="en-US"/>
              </w:rPr>
              <w:t>Policies for growth and employment</w:t>
            </w:r>
          </w:p>
          <w:p w:rsidR="000F7925" w:rsidRPr="0064741B" w:rsidRDefault="000F7925" w:rsidP="00D12F38">
            <w:pPr>
              <w:pStyle w:val="a5"/>
              <w:numPr>
                <w:ilvl w:val="0"/>
                <w:numId w:val="1"/>
              </w:numPr>
              <w:contextualSpacing/>
              <w:rPr>
                <w:rFonts w:ascii="Tahoma" w:hAnsi="Tahoma" w:cs="Tahoma"/>
                <w:sz w:val="20"/>
                <w:szCs w:val="20"/>
                <w:lang w:val="en-US"/>
              </w:rPr>
            </w:pPr>
            <w:r w:rsidRPr="0064741B">
              <w:rPr>
                <w:rFonts w:ascii="Tahoma" w:hAnsi="Tahoma" w:cs="Tahoma"/>
                <w:sz w:val="20"/>
                <w:szCs w:val="20"/>
                <w:lang w:val="en-US"/>
              </w:rPr>
              <w:t>Economic, social and territorial cohesion</w:t>
            </w:r>
          </w:p>
          <w:p w:rsidR="000F7925" w:rsidRPr="0064741B" w:rsidRDefault="000F7925" w:rsidP="00D12F38">
            <w:pPr>
              <w:pStyle w:val="a5"/>
              <w:numPr>
                <w:ilvl w:val="0"/>
                <w:numId w:val="1"/>
              </w:numPr>
              <w:contextualSpacing/>
              <w:rPr>
                <w:rFonts w:ascii="Tahoma" w:hAnsi="Tahoma" w:cs="Tahoma"/>
                <w:sz w:val="20"/>
                <w:szCs w:val="20"/>
                <w:lang w:val="en-US"/>
              </w:rPr>
            </w:pPr>
            <w:r w:rsidRPr="0064741B">
              <w:rPr>
                <w:rFonts w:ascii="Tahoma" w:hAnsi="Tahoma" w:cs="Tahoma"/>
                <w:sz w:val="20"/>
                <w:szCs w:val="20"/>
                <w:lang w:val="en-US"/>
              </w:rPr>
              <w:t>Common agricultural policy: two pillars</w:t>
            </w:r>
          </w:p>
          <w:p w:rsidR="000F7925" w:rsidRPr="0064741B" w:rsidRDefault="000F7925" w:rsidP="00D12F38">
            <w:pPr>
              <w:pStyle w:val="a5"/>
              <w:numPr>
                <w:ilvl w:val="0"/>
                <w:numId w:val="1"/>
              </w:numPr>
              <w:contextualSpacing/>
              <w:rPr>
                <w:rFonts w:ascii="Tahoma" w:hAnsi="Tahoma" w:cs="Tahoma"/>
                <w:sz w:val="20"/>
                <w:szCs w:val="20"/>
                <w:lang w:val="en-US"/>
              </w:rPr>
            </w:pPr>
            <w:r w:rsidRPr="0064741B">
              <w:rPr>
                <w:rFonts w:ascii="Tahoma" w:hAnsi="Tahoma" w:cs="Tahoma"/>
                <w:sz w:val="20"/>
                <w:szCs w:val="20"/>
                <w:lang w:val="en-US"/>
              </w:rPr>
              <w:t>Towards European citizenship</w:t>
            </w:r>
          </w:p>
          <w:p w:rsidR="000F7925" w:rsidRPr="0064741B" w:rsidRDefault="000F7925" w:rsidP="00D12F38">
            <w:pPr>
              <w:pStyle w:val="a5"/>
              <w:numPr>
                <w:ilvl w:val="0"/>
                <w:numId w:val="1"/>
              </w:numPr>
              <w:contextualSpacing/>
              <w:rPr>
                <w:rFonts w:ascii="Tahoma" w:hAnsi="Tahoma" w:cs="Tahoma"/>
                <w:sz w:val="20"/>
                <w:szCs w:val="20"/>
                <w:lang w:val="en-US"/>
              </w:rPr>
            </w:pPr>
            <w:r w:rsidRPr="0064741B">
              <w:rPr>
                <w:rFonts w:ascii="Tahoma" w:hAnsi="Tahoma" w:cs="Tahoma"/>
                <w:sz w:val="20"/>
                <w:szCs w:val="20"/>
                <w:lang w:val="en-US"/>
              </w:rPr>
              <w:t xml:space="preserve">Common foreign and security policy </w:t>
            </w:r>
          </w:p>
        </w:tc>
      </w:tr>
      <w:tr w:rsidR="000F7925" w:rsidTr="00A00FEC">
        <w:tc>
          <w:tcPr>
            <w:tcW w:w="1812" w:type="dxa"/>
            <w:vMerge w:val="restart"/>
            <w:tcBorders>
              <w:top w:val="nil"/>
            </w:tcBorders>
          </w:tcPr>
          <w:p w:rsidR="000F7925" w:rsidRPr="0064741B" w:rsidRDefault="000F7925" w:rsidP="00D12F38">
            <w:pPr>
              <w:rPr>
                <w:rFonts w:ascii="Tahoma" w:hAnsi="Tahoma" w:cs="Tahoma"/>
                <w:b/>
                <w:sz w:val="20"/>
                <w:szCs w:val="20"/>
                <w:lang w:val="en-US"/>
              </w:rPr>
            </w:pPr>
          </w:p>
        </w:tc>
        <w:tc>
          <w:tcPr>
            <w:tcW w:w="563" w:type="dxa"/>
          </w:tcPr>
          <w:p w:rsidR="000F7925" w:rsidRPr="0064741B" w:rsidRDefault="000F7925" w:rsidP="00D12F38">
            <w:pPr>
              <w:rPr>
                <w:rFonts w:ascii="Tahoma" w:hAnsi="Tahoma" w:cs="Tahoma"/>
                <w:sz w:val="20"/>
                <w:szCs w:val="20"/>
                <w:lang w:val="en-US"/>
              </w:rPr>
            </w:pPr>
            <w:r w:rsidRPr="0064741B">
              <w:rPr>
                <w:rFonts w:ascii="Tahoma" w:hAnsi="Tahoma" w:cs="Tahoma"/>
                <w:sz w:val="20"/>
                <w:szCs w:val="20"/>
                <w:lang w:val="en-US"/>
              </w:rPr>
              <w:t>6</w:t>
            </w:r>
          </w:p>
        </w:tc>
        <w:tc>
          <w:tcPr>
            <w:tcW w:w="1138" w:type="dxa"/>
          </w:tcPr>
          <w:p w:rsidR="000F7925" w:rsidRPr="0064741B" w:rsidRDefault="000F7925" w:rsidP="00D12F38">
            <w:pPr>
              <w:tabs>
                <w:tab w:val="num" w:pos="2619"/>
              </w:tabs>
              <w:spacing w:after="240"/>
              <w:jc w:val="center"/>
              <w:rPr>
                <w:rFonts w:ascii="Tahoma" w:hAnsi="Tahoma" w:cs="Tahoma"/>
                <w:sz w:val="20"/>
                <w:szCs w:val="20"/>
                <w:lang w:val="en-US"/>
              </w:rPr>
            </w:pPr>
            <w:r>
              <w:rPr>
                <w:rFonts w:ascii="Tahoma" w:hAnsi="Tahoma" w:cs="Tahoma"/>
                <w:sz w:val="20"/>
                <w:szCs w:val="20"/>
                <w:lang w:val="en-US"/>
              </w:rPr>
              <w:t>6</w:t>
            </w:r>
          </w:p>
        </w:tc>
        <w:tc>
          <w:tcPr>
            <w:tcW w:w="5950" w:type="dxa"/>
          </w:tcPr>
          <w:p w:rsidR="000F7925" w:rsidRPr="0064741B" w:rsidRDefault="000F7925" w:rsidP="00D12F38">
            <w:pPr>
              <w:tabs>
                <w:tab w:val="num" w:pos="2619"/>
              </w:tabs>
              <w:jc w:val="both"/>
              <w:rPr>
                <w:rFonts w:ascii="Tahoma" w:hAnsi="Tahoma" w:cs="Tahoma"/>
                <w:sz w:val="20"/>
                <w:szCs w:val="20"/>
                <w:lang w:val="en-US"/>
              </w:rPr>
            </w:pPr>
            <w:r w:rsidRPr="0064741B">
              <w:rPr>
                <w:rFonts w:ascii="Tahoma" w:hAnsi="Tahoma" w:cs="Tahoma"/>
                <w:sz w:val="20"/>
                <w:szCs w:val="20"/>
                <w:lang w:val="en-US"/>
              </w:rPr>
              <w:t xml:space="preserve">The EU – global dispositions </w:t>
            </w:r>
          </w:p>
          <w:p w:rsidR="000F7925" w:rsidRPr="0064741B" w:rsidRDefault="000F7925" w:rsidP="00D12F38">
            <w:pPr>
              <w:pStyle w:val="a5"/>
              <w:numPr>
                <w:ilvl w:val="0"/>
                <w:numId w:val="1"/>
              </w:numPr>
              <w:contextualSpacing/>
              <w:rPr>
                <w:rFonts w:ascii="Tahoma" w:hAnsi="Tahoma" w:cs="Tahoma"/>
                <w:sz w:val="20"/>
                <w:szCs w:val="20"/>
                <w:lang w:val="en-US"/>
              </w:rPr>
            </w:pPr>
            <w:r w:rsidRPr="0064741B">
              <w:rPr>
                <w:rFonts w:ascii="Tahoma" w:hAnsi="Tahoma" w:cs="Tahoma"/>
                <w:sz w:val="20"/>
                <w:szCs w:val="20"/>
                <w:lang w:val="en-US"/>
              </w:rPr>
              <w:t>Geopolitical role of the EU</w:t>
            </w:r>
          </w:p>
          <w:p w:rsidR="000F7925" w:rsidRPr="0064741B" w:rsidRDefault="000F7925" w:rsidP="00D12F38">
            <w:pPr>
              <w:pStyle w:val="a5"/>
              <w:numPr>
                <w:ilvl w:val="0"/>
                <w:numId w:val="1"/>
              </w:numPr>
              <w:contextualSpacing/>
              <w:rPr>
                <w:rFonts w:ascii="Tahoma" w:hAnsi="Tahoma" w:cs="Tahoma"/>
                <w:sz w:val="20"/>
                <w:szCs w:val="20"/>
                <w:lang w:val="en-US"/>
              </w:rPr>
            </w:pPr>
            <w:r w:rsidRPr="0064741B">
              <w:rPr>
                <w:rFonts w:ascii="Tahoma" w:hAnsi="Tahoma" w:cs="Tahoma"/>
                <w:sz w:val="20"/>
                <w:szCs w:val="20"/>
                <w:lang w:val="en-US"/>
              </w:rPr>
              <w:t>Geoeconomic characteristics of the Union</w:t>
            </w:r>
          </w:p>
          <w:p w:rsidR="000F7925" w:rsidRPr="0064741B" w:rsidRDefault="000F7925" w:rsidP="00D12F38">
            <w:pPr>
              <w:pStyle w:val="a5"/>
              <w:numPr>
                <w:ilvl w:val="0"/>
                <w:numId w:val="1"/>
              </w:numPr>
              <w:contextualSpacing/>
              <w:rPr>
                <w:rFonts w:ascii="Tahoma" w:hAnsi="Tahoma" w:cs="Tahoma"/>
                <w:sz w:val="20"/>
                <w:szCs w:val="20"/>
                <w:lang w:val="en-US"/>
              </w:rPr>
            </w:pPr>
            <w:r w:rsidRPr="0064741B">
              <w:rPr>
                <w:rFonts w:ascii="Tahoma" w:hAnsi="Tahoma" w:cs="Tahoma"/>
                <w:sz w:val="20"/>
                <w:szCs w:val="20"/>
                <w:lang w:val="en-US"/>
              </w:rPr>
              <w:t>EU as a trade partner</w:t>
            </w:r>
          </w:p>
          <w:p w:rsidR="000F7925" w:rsidRPr="0064741B" w:rsidRDefault="000F7925" w:rsidP="00D12F38">
            <w:pPr>
              <w:pStyle w:val="a5"/>
              <w:numPr>
                <w:ilvl w:val="0"/>
                <w:numId w:val="1"/>
              </w:numPr>
              <w:contextualSpacing/>
              <w:rPr>
                <w:rFonts w:ascii="Tahoma" w:hAnsi="Tahoma" w:cs="Tahoma"/>
                <w:sz w:val="20"/>
                <w:szCs w:val="20"/>
                <w:lang w:val="en-US"/>
              </w:rPr>
            </w:pPr>
            <w:r w:rsidRPr="0064741B">
              <w:rPr>
                <w:rFonts w:ascii="Tahoma" w:hAnsi="Tahoma" w:cs="Tahoma"/>
                <w:sz w:val="20"/>
                <w:szCs w:val="20"/>
                <w:lang w:val="en-US"/>
              </w:rPr>
              <w:t>EU external action instruments</w:t>
            </w:r>
          </w:p>
          <w:p w:rsidR="000F7925" w:rsidRPr="0064741B" w:rsidRDefault="000F7925" w:rsidP="00D12F38">
            <w:pPr>
              <w:pStyle w:val="a5"/>
              <w:numPr>
                <w:ilvl w:val="0"/>
                <w:numId w:val="1"/>
              </w:numPr>
              <w:contextualSpacing/>
              <w:rPr>
                <w:rFonts w:ascii="Tahoma" w:hAnsi="Tahoma" w:cs="Tahoma"/>
                <w:sz w:val="20"/>
                <w:szCs w:val="20"/>
                <w:lang w:val="en-US"/>
              </w:rPr>
            </w:pPr>
            <w:r w:rsidRPr="0064741B">
              <w:rPr>
                <w:rFonts w:ascii="Tahoma" w:hAnsi="Tahoma" w:cs="Tahoma"/>
                <w:sz w:val="20"/>
                <w:szCs w:val="20"/>
                <w:lang w:val="en-US"/>
              </w:rPr>
              <w:t>EU’s actions for peace and stability</w:t>
            </w:r>
          </w:p>
        </w:tc>
      </w:tr>
      <w:tr w:rsidR="000F7925" w:rsidTr="00A00FEC">
        <w:tc>
          <w:tcPr>
            <w:tcW w:w="1812" w:type="dxa"/>
            <w:vMerge/>
          </w:tcPr>
          <w:p w:rsidR="000F7925" w:rsidRPr="0064741B" w:rsidRDefault="000F7925" w:rsidP="00D12F38">
            <w:pPr>
              <w:rPr>
                <w:rFonts w:ascii="Tahoma" w:hAnsi="Tahoma" w:cs="Tahoma"/>
                <w:b/>
                <w:sz w:val="20"/>
                <w:szCs w:val="20"/>
                <w:lang w:val="en-US"/>
              </w:rPr>
            </w:pPr>
          </w:p>
        </w:tc>
        <w:tc>
          <w:tcPr>
            <w:tcW w:w="563" w:type="dxa"/>
          </w:tcPr>
          <w:p w:rsidR="000F7925" w:rsidRPr="0064741B" w:rsidRDefault="000F7925" w:rsidP="00D12F38">
            <w:pPr>
              <w:rPr>
                <w:rFonts w:ascii="Tahoma" w:hAnsi="Tahoma" w:cs="Tahoma"/>
                <w:sz w:val="20"/>
                <w:szCs w:val="20"/>
                <w:lang w:val="en-US"/>
              </w:rPr>
            </w:pPr>
            <w:r w:rsidRPr="0064741B">
              <w:rPr>
                <w:rFonts w:ascii="Tahoma" w:hAnsi="Tahoma" w:cs="Tahoma"/>
                <w:sz w:val="20"/>
                <w:szCs w:val="20"/>
                <w:lang w:val="en-US"/>
              </w:rPr>
              <w:t>7</w:t>
            </w:r>
          </w:p>
        </w:tc>
        <w:tc>
          <w:tcPr>
            <w:tcW w:w="1138" w:type="dxa"/>
          </w:tcPr>
          <w:p w:rsidR="000F7925" w:rsidRPr="0064741B" w:rsidRDefault="000F7925" w:rsidP="00D12F38">
            <w:pPr>
              <w:tabs>
                <w:tab w:val="num" w:pos="2619"/>
              </w:tabs>
              <w:spacing w:after="240"/>
              <w:jc w:val="center"/>
              <w:rPr>
                <w:rFonts w:ascii="Tahoma" w:hAnsi="Tahoma" w:cs="Tahoma"/>
                <w:sz w:val="20"/>
                <w:szCs w:val="20"/>
                <w:lang w:val="en-US"/>
              </w:rPr>
            </w:pPr>
            <w:r>
              <w:rPr>
                <w:rFonts w:ascii="Tahoma" w:hAnsi="Tahoma" w:cs="Tahoma"/>
                <w:sz w:val="20"/>
                <w:szCs w:val="20"/>
                <w:lang w:val="en-US"/>
              </w:rPr>
              <w:t>6</w:t>
            </w:r>
          </w:p>
        </w:tc>
        <w:tc>
          <w:tcPr>
            <w:tcW w:w="5950" w:type="dxa"/>
          </w:tcPr>
          <w:p w:rsidR="000F7925" w:rsidRPr="0064741B" w:rsidRDefault="000F7925" w:rsidP="00D12F38">
            <w:pPr>
              <w:tabs>
                <w:tab w:val="num" w:pos="2619"/>
              </w:tabs>
              <w:jc w:val="both"/>
              <w:rPr>
                <w:rFonts w:ascii="Tahoma" w:hAnsi="Tahoma" w:cs="Tahoma"/>
                <w:sz w:val="20"/>
                <w:szCs w:val="20"/>
                <w:lang w:val="en-US"/>
              </w:rPr>
            </w:pPr>
            <w:r w:rsidRPr="0064741B">
              <w:rPr>
                <w:rFonts w:ascii="Tahoma" w:hAnsi="Tahoma" w:cs="Tahoma"/>
                <w:sz w:val="20"/>
                <w:szCs w:val="20"/>
                <w:lang w:val="en-US"/>
              </w:rPr>
              <w:t>The EU and Ukraine</w:t>
            </w:r>
          </w:p>
          <w:p w:rsidR="000F7925" w:rsidRPr="0064741B" w:rsidRDefault="000F7925" w:rsidP="00D12F38">
            <w:pPr>
              <w:pStyle w:val="a5"/>
              <w:numPr>
                <w:ilvl w:val="0"/>
                <w:numId w:val="1"/>
              </w:numPr>
              <w:contextualSpacing/>
              <w:rPr>
                <w:rFonts w:ascii="Tahoma" w:hAnsi="Tahoma" w:cs="Tahoma"/>
                <w:sz w:val="20"/>
                <w:szCs w:val="20"/>
                <w:lang w:val="en-US"/>
              </w:rPr>
            </w:pPr>
            <w:r w:rsidRPr="0064741B">
              <w:rPr>
                <w:rFonts w:ascii="Tahoma" w:hAnsi="Tahoma" w:cs="Tahoma"/>
                <w:sz w:val="20"/>
                <w:szCs w:val="20"/>
                <w:lang w:val="en-US"/>
              </w:rPr>
              <w:t>Historical overview of the EU-Ukraine relations</w:t>
            </w:r>
          </w:p>
          <w:p w:rsidR="000F7925" w:rsidRPr="0064741B" w:rsidRDefault="000F7925" w:rsidP="00D12F38">
            <w:pPr>
              <w:pStyle w:val="a5"/>
              <w:numPr>
                <w:ilvl w:val="0"/>
                <w:numId w:val="1"/>
              </w:numPr>
              <w:contextualSpacing/>
              <w:rPr>
                <w:rFonts w:ascii="Tahoma" w:hAnsi="Tahoma" w:cs="Tahoma"/>
                <w:sz w:val="20"/>
                <w:szCs w:val="20"/>
                <w:lang w:val="en-US"/>
              </w:rPr>
            </w:pPr>
            <w:r w:rsidRPr="0064741B">
              <w:rPr>
                <w:rFonts w:ascii="Tahoma" w:hAnsi="Tahoma" w:cs="Tahoma"/>
                <w:sz w:val="20"/>
                <w:szCs w:val="20"/>
                <w:lang w:val="en-US"/>
              </w:rPr>
              <w:t>Current legislative framework for mutual relations</w:t>
            </w:r>
          </w:p>
          <w:p w:rsidR="000F7925" w:rsidRPr="0064741B" w:rsidRDefault="000F7925" w:rsidP="00D12F38">
            <w:pPr>
              <w:pStyle w:val="a5"/>
              <w:numPr>
                <w:ilvl w:val="0"/>
                <w:numId w:val="1"/>
              </w:numPr>
              <w:contextualSpacing/>
              <w:rPr>
                <w:rFonts w:ascii="Tahoma" w:hAnsi="Tahoma" w:cs="Tahoma"/>
                <w:sz w:val="20"/>
                <w:szCs w:val="20"/>
                <w:lang w:val="en-US"/>
              </w:rPr>
            </w:pPr>
            <w:r w:rsidRPr="0064741B">
              <w:rPr>
                <w:rFonts w:ascii="Tahoma" w:hAnsi="Tahoma" w:cs="Tahoma"/>
                <w:sz w:val="20"/>
                <w:szCs w:val="20"/>
                <w:lang w:val="en-US"/>
              </w:rPr>
              <w:t>Opportunities and challenges of the Association Agreement</w:t>
            </w:r>
          </w:p>
          <w:p w:rsidR="000F7925" w:rsidRPr="0064741B" w:rsidRDefault="000F7925" w:rsidP="00D12F38">
            <w:pPr>
              <w:pStyle w:val="a5"/>
              <w:numPr>
                <w:ilvl w:val="0"/>
                <w:numId w:val="1"/>
              </w:numPr>
              <w:contextualSpacing/>
              <w:rPr>
                <w:rFonts w:ascii="Tahoma" w:hAnsi="Tahoma" w:cs="Tahoma"/>
                <w:sz w:val="20"/>
                <w:szCs w:val="20"/>
                <w:lang w:val="en-US"/>
              </w:rPr>
            </w:pPr>
            <w:r w:rsidRPr="0064741B">
              <w:rPr>
                <w:rFonts w:ascii="Tahoma" w:hAnsi="Tahoma" w:cs="Tahoma"/>
                <w:sz w:val="20"/>
                <w:szCs w:val="20"/>
                <w:lang w:val="en-US"/>
              </w:rPr>
              <w:t>Prospect of the EU membership for Ukraine</w:t>
            </w:r>
          </w:p>
          <w:p w:rsidR="000F7925" w:rsidRPr="0064741B" w:rsidRDefault="000F7925" w:rsidP="00D12F38">
            <w:pPr>
              <w:pStyle w:val="a5"/>
              <w:numPr>
                <w:ilvl w:val="0"/>
                <w:numId w:val="1"/>
              </w:numPr>
              <w:contextualSpacing/>
              <w:rPr>
                <w:rFonts w:ascii="Tahoma" w:hAnsi="Tahoma" w:cs="Tahoma"/>
                <w:sz w:val="20"/>
                <w:szCs w:val="20"/>
                <w:lang w:val="en-US"/>
              </w:rPr>
            </w:pPr>
            <w:r w:rsidRPr="0064741B">
              <w:rPr>
                <w:rFonts w:ascii="Tahoma" w:hAnsi="Tahoma" w:cs="Tahoma"/>
                <w:sz w:val="20"/>
                <w:szCs w:val="20"/>
                <w:lang w:val="en-US"/>
              </w:rPr>
              <w:t>Alternatives for the European integration of Ukraine</w:t>
            </w:r>
          </w:p>
          <w:p w:rsidR="000F7925" w:rsidRPr="0064741B" w:rsidRDefault="000F7925" w:rsidP="00D12F38">
            <w:pPr>
              <w:pStyle w:val="a5"/>
              <w:numPr>
                <w:ilvl w:val="0"/>
                <w:numId w:val="1"/>
              </w:numPr>
              <w:contextualSpacing/>
              <w:rPr>
                <w:rFonts w:ascii="Tahoma" w:hAnsi="Tahoma" w:cs="Tahoma"/>
                <w:sz w:val="20"/>
                <w:szCs w:val="20"/>
                <w:lang w:val="en-US"/>
              </w:rPr>
            </w:pPr>
            <w:r w:rsidRPr="0064741B">
              <w:rPr>
                <w:rFonts w:ascii="Tahoma" w:hAnsi="Tahoma" w:cs="Tahoma"/>
                <w:sz w:val="20"/>
                <w:szCs w:val="20"/>
                <w:lang w:val="en-US"/>
              </w:rPr>
              <w:t>EU and current military conflict in Ukraine</w:t>
            </w:r>
          </w:p>
        </w:tc>
      </w:tr>
      <w:tr w:rsidR="000F7925" w:rsidRPr="00A00FEC" w:rsidTr="00A00FEC">
        <w:tc>
          <w:tcPr>
            <w:tcW w:w="1812" w:type="dxa"/>
          </w:tcPr>
          <w:p w:rsidR="000F7925" w:rsidRPr="00041917" w:rsidRDefault="000F7925" w:rsidP="00D12F38">
            <w:pPr>
              <w:rPr>
                <w:rFonts w:ascii="Tahoma" w:hAnsi="Tahoma" w:cs="Tahoma"/>
                <w:b/>
                <w:sz w:val="20"/>
                <w:szCs w:val="20"/>
                <w:lang w:val="en-US"/>
              </w:rPr>
            </w:pPr>
            <w:r w:rsidRPr="00041917">
              <w:rPr>
                <w:rFonts w:ascii="Tahoma" w:hAnsi="Tahoma" w:cs="Tahoma"/>
                <w:b/>
                <w:sz w:val="20"/>
                <w:szCs w:val="20"/>
                <w:lang w:val="en-US"/>
              </w:rPr>
              <w:t>Assigned readings:</w:t>
            </w:r>
          </w:p>
          <w:p w:rsidR="000F7925" w:rsidRDefault="000F7925" w:rsidP="00D12F38">
            <w:pPr>
              <w:rPr>
                <w:rFonts w:ascii="Tahoma" w:hAnsi="Tahoma" w:cs="Tahoma"/>
                <w:b/>
                <w:caps/>
                <w:sz w:val="20"/>
                <w:szCs w:val="20"/>
                <w:lang w:val="uk-UA"/>
              </w:rPr>
            </w:pPr>
          </w:p>
        </w:tc>
        <w:tc>
          <w:tcPr>
            <w:tcW w:w="7651" w:type="dxa"/>
            <w:gridSpan w:val="3"/>
          </w:tcPr>
          <w:p w:rsidR="000F7925" w:rsidRPr="0064741B" w:rsidRDefault="000F7925" w:rsidP="00D12F38">
            <w:pPr>
              <w:rPr>
                <w:rFonts w:ascii="Tahoma" w:hAnsi="Tahoma" w:cs="Tahoma"/>
                <w:b/>
                <w:sz w:val="20"/>
                <w:szCs w:val="20"/>
                <w:lang w:val="en-US"/>
              </w:rPr>
            </w:pPr>
          </w:p>
          <w:p w:rsidR="000F7925" w:rsidRPr="00041917" w:rsidRDefault="000F7925" w:rsidP="00D12F38">
            <w:pPr>
              <w:pStyle w:val="a6"/>
              <w:numPr>
                <w:ilvl w:val="0"/>
                <w:numId w:val="2"/>
              </w:numPr>
              <w:tabs>
                <w:tab w:val="clear" w:pos="1125"/>
              </w:tabs>
              <w:ind w:left="426"/>
              <w:rPr>
                <w:rFonts w:ascii="Tahoma" w:hAnsi="Tahoma" w:cs="Tahoma"/>
                <w:lang w:val="en-US"/>
              </w:rPr>
            </w:pPr>
            <w:r w:rsidRPr="00041917">
              <w:rPr>
                <w:rFonts w:ascii="Tahoma" w:hAnsi="Tahoma" w:cs="Tahoma"/>
              </w:rPr>
              <w:t xml:space="preserve">Abramowitz, Morton, and Henri J. Barkey (2009). Turkey’s Transformers: The AKP Sees Big. </w:t>
            </w:r>
            <w:r w:rsidRPr="00041917">
              <w:rPr>
                <w:rFonts w:ascii="Tahoma" w:hAnsi="Tahoma" w:cs="Tahoma"/>
                <w:i/>
                <w:iCs/>
              </w:rPr>
              <w:t xml:space="preserve">Foreign Affairs </w:t>
            </w:r>
            <w:r w:rsidRPr="00041917">
              <w:rPr>
                <w:rFonts w:ascii="Tahoma" w:hAnsi="Tahoma" w:cs="Tahoma"/>
              </w:rPr>
              <w:t>88(6), 118–128.</w:t>
            </w:r>
          </w:p>
          <w:p w:rsidR="000F7925" w:rsidRPr="00041917" w:rsidRDefault="000F7925" w:rsidP="00D12F38">
            <w:pPr>
              <w:pStyle w:val="a6"/>
              <w:numPr>
                <w:ilvl w:val="0"/>
                <w:numId w:val="2"/>
              </w:numPr>
              <w:tabs>
                <w:tab w:val="clear" w:pos="1125"/>
              </w:tabs>
              <w:ind w:left="426"/>
              <w:rPr>
                <w:rFonts w:ascii="Tahoma" w:hAnsi="Tahoma" w:cs="Tahoma"/>
                <w:lang w:val="en-US"/>
              </w:rPr>
            </w:pPr>
            <w:r w:rsidRPr="00041917">
              <w:rPr>
                <w:rFonts w:ascii="Tahoma" w:hAnsi="Tahoma" w:cs="Tahoma"/>
              </w:rPr>
              <w:t xml:space="preserve">Alter, Karen J. (1998). Who Are the “Masters of the Treaty”? European Governments and the European Court of Justice. </w:t>
            </w:r>
            <w:r w:rsidRPr="00041917">
              <w:rPr>
                <w:rFonts w:ascii="Tahoma" w:hAnsi="Tahoma" w:cs="Tahoma"/>
                <w:i/>
                <w:iCs/>
              </w:rPr>
              <w:t xml:space="preserve">International Organization </w:t>
            </w:r>
            <w:r w:rsidRPr="00041917">
              <w:rPr>
                <w:rFonts w:ascii="Tahoma" w:hAnsi="Tahoma" w:cs="Tahoma"/>
              </w:rPr>
              <w:t>52(1), 121–147.</w:t>
            </w:r>
          </w:p>
          <w:p w:rsidR="000F7925" w:rsidRPr="00041917" w:rsidRDefault="000F7925" w:rsidP="00D12F38">
            <w:pPr>
              <w:pStyle w:val="a6"/>
              <w:numPr>
                <w:ilvl w:val="0"/>
                <w:numId w:val="2"/>
              </w:numPr>
              <w:tabs>
                <w:tab w:val="clear" w:pos="1125"/>
              </w:tabs>
              <w:autoSpaceDE w:val="0"/>
              <w:autoSpaceDN w:val="0"/>
              <w:adjustRightInd w:val="0"/>
              <w:ind w:left="426"/>
              <w:rPr>
                <w:rFonts w:ascii="Tahoma" w:hAnsi="Tahoma" w:cs="Tahoma"/>
                <w:color w:val="000000"/>
              </w:rPr>
            </w:pPr>
            <w:r w:rsidRPr="00041917">
              <w:rPr>
                <w:rFonts w:ascii="Tahoma" w:hAnsi="Tahoma" w:cs="Tahoma"/>
              </w:rPr>
              <w:t>Consolidated version of the Treaty on the Functioning of the European Union.</w:t>
            </w:r>
          </w:p>
          <w:p w:rsidR="000F7925" w:rsidRPr="00041917" w:rsidRDefault="000F7925" w:rsidP="00D12F38">
            <w:pPr>
              <w:pStyle w:val="a6"/>
              <w:numPr>
                <w:ilvl w:val="0"/>
                <w:numId w:val="2"/>
              </w:numPr>
              <w:tabs>
                <w:tab w:val="clear" w:pos="1125"/>
              </w:tabs>
              <w:ind w:left="426"/>
              <w:rPr>
                <w:rFonts w:ascii="Tahoma" w:hAnsi="Tahoma" w:cs="Tahoma"/>
                <w:lang w:val="en-US"/>
              </w:rPr>
            </w:pPr>
            <w:r w:rsidRPr="00041917">
              <w:rPr>
                <w:rFonts w:ascii="Tahoma" w:hAnsi="Tahoma" w:cs="Tahoma"/>
              </w:rPr>
              <w:t xml:space="preserve">Drozdiak, William (2010). The Brussels Wall: Tearing Down the EU-NATO Barrier. </w:t>
            </w:r>
            <w:r w:rsidRPr="00041917">
              <w:rPr>
                <w:rFonts w:ascii="Tahoma" w:hAnsi="Tahoma" w:cs="Tahoma"/>
                <w:i/>
                <w:iCs/>
              </w:rPr>
              <w:t xml:space="preserve">Foreign Affairs </w:t>
            </w:r>
            <w:r w:rsidRPr="00041917">
              <w:rPr>
                <w:rFonts w:ascii="Tahoma" w:hAnsi="Tahoma" w:cs="Tahoma"/>
              </w:rPr>
              <w:t>89(3), 7–12.</w:t>
            </w:r>
          </w:p>
          <w:p w:rsidR="000F7925" w:rsidRPr="00041917" w:rsidRDefault="000F7925" w:rsidP="00D12F38">
            <w:pPr>
              <w:pStyle w:val="a6"/>
              <w:numPr>
                <w:ilvl w:val="0"/>
                <w:numId w:val="2"/>
              </w:numPr>
              <w:tabs>
                <w:tab w:val="clear" w:pos="1125"/>
              </w:tabs>
              <w:ind w:left="426"/>
              <w:rPr>
                <w:rFonts w:ascii="Tahoma" w:hAnsi="Tahoma" w:cs="Tahoma"/>
                <w:lang w:val="en-US"/>
              </w:rPr>
            </w:pPr>
            <w:r w:rsidRPr="00041917">
              <w:rPr>
                <w:rFonts w:ascii="Tahoma" w:hAnsi="Tahoma" w:cs="Tahoma"/>
              </w:rPr>
              <w:t xml:space="preserve">Grant, Charle (2010). Europe as a Global Actor in 2030. In Daniel Benjamin, ed., </w:t>
            </w:r>
            <w:r w:rsidRPr="00041917">
              <w:rPr>
                <w:rFonts w:ascii="Tahoma" w:hAnsi="Tahoma" w:cs="Tahoma"/>
                <w:i/>
                <w:iCs/>
              </w:rPr>
              <w:t xml:space="preserve">Europe 2030. </w:t>
            </w:r>
            <w:r w:rsidRPr="00041917">
              <w:rPr>
                <w:rFonts w:ascii="Tahoma" w:hAnsi="Tahoma" w:cs="Tahoma"/>
              </w:rPr>
              <w:t>Washington, D.C.: Brookings, p. 63–85.</w:t>
            </w:r>
          </w:p>
          <w:p w:rsidR="000F7925" w:rsidRPr="00041917" w:rsidRDefault="000F7925" w:rsidP="00D12F38">
            <w:pPr>
              <w:pStyle w:val="a6"/>
              <w:numPr>
                <w:ilvl w:val="0"/>
                <w:numId w:val="2"/>
              </w:numPr>
              <w:tabs>
                <w:tab w:val="clear" w:pos="1125"/>
              </w:tabs>
              <w:autoSpaceDE w:val="0"/>
              <w:autoSpaceDN w:val="0"/>
              <w:adjustRightInd w:val="0"/>
              <w:ind w:left="426"/>
              <w:rPr>
                <w:rFonts w:ascii="Tahoma" w:hAnsi="Tahoma" w:cs="Tahoma"/>
                <w:color w:val="000000"/>
                <w:lang w:val="en-US"/>
              </w:rPr>
            </w:pPr>
            <w:r w:rsidRPr="00041917">
              <w:rPr>
                <w:rFonts w:ascii="Tahoma" w:hAnsi="Tahoma" w:cs="Tahoma"/>
                <w:color w:val="000000"/>
                <w:lang w:val="en-US"/>
              </w:rPr>
              <w:t>Hettne</w:t>
            </w:r>
            <w:r w:rsidRPr="00041917">
              <w:rPr>
                <w:rFonts w:ascii="Tahoma" w:hAnsi="Tahoma" w:cs="Tahoma"/>
                <w:color w:val="000000"/>
              </w:rPr>
              <w:t>,</w:t>
            </w:r>
            <w:r w:rsidRPr="00041917">
              <w:rPr>
                <w:rFonts w:ascii="Tahoma" w:hAnsi="Tahoma" w:cs="Tahoma"/>
                <w:color w:val="000000"/>
                <w:lang w:val="en-US"/>
              </w:rPr>
              <w:t xml:space="preserve"> Bjorn and Soderbaum</w:t>
            </w:r>
            <w:r w:rsidRPr="00041917">
              <w:rPr>
                <w:rFonts w:ascii="Tahoma" w:hAnsi="Tahoma" w:cs="Tahoma"/>
                <w:color w:val="000000"/>
              </w:rPr>
              <w:t>,</w:t>
            </w:r>
            <w:r w:rsidRPr="00041917">
              <w:rPr>
                <w:rFonts w:ascii="Tahoma" w:hAnsi="Tahoma" w:cs="Tahoma"/>
                <w:color w:val="000000"/>
                <w:lang w:val="en-US"/>
              </w:rPr>
              <w:t xml:space="preserve"> Fredrik</w:t>
            </w:r>
            <w:r w:rsidRPr="00041917">
              <w:rPr>
                <w:rFonts w:ascii="Tahoma" w:hAnsi="Tahoma" w:cs="Tahoma"/>
                <w:color w:val="000000"/>
              </w:rPr>
              <w:t xml:space="preserve"> (2005). </w:t>
            </w:r>
            <w:r w:rsidRPr="00041917">
              <w:rPr>
                <w:rFonts w:ascii="Tahoma" w:hAnsi="Tahoma" w:cs="Tahoma"/>
                <w:color w:val="000000"/>
                <w:lang w:val="en-US"/>
              </w:rPr>
              <w:t>Civilian Power or Soft Imperialism? The EU as a Global Actor and The Role of Interregionalism</w:t>
            </w:r>
            <w:r w:rsidRPr="00041917">
              <w:rPr>
                <w:rFonts w:ascii="Tahoma" w:hAnsi="Tahoma" w:cs="Tahoma"/>
                <w:color w:val="000000"/>
              </w:rPr>
              <w:t>.</w:t>
            </w:r>
            <w:r w:rsidRPr="00041917">
              <w:rPr>
                <w:rFonts w:ascii="Tahoma" w:hAnsi="Tahoma" w:cs="Tahoma"/>
                <w:color w:val="000000"/>
                <w:lang w:val="en-US"/>
              </w:rPr>
              <w:t xml:space="preserve"> </w:t>
            </w:r>
            <w:r w:rsidRPr="00041917">
              <w:rPr>
                <w:rFonts w:ascii="Tahoma" w:hAnsi="Tahoma" w:cs="Tahoma"/>
                <w:i/>
                <w:iCs/>
                <w:color w:val="000000"/>
                <w:lang w:val="en-US"/>
              </w:rPr>
              <w:t>European Foreign Affairs Review</w:t>
            </w:r>
            <w:r w:rsidRPr="00041917">
              <w:rPr>
                <w:rFonts w:ascii="Tahoma" w:hAnsi="Tahoma" w:cs="Tahoma"/>
                <w:color w:val="000000"/>
                <w:lang w:val="en-US"/>
              </w:rPr>
              <w:t xml:space="preserve"> 10</w:t>
            </w:r>
            <w:r w:rsidRPr="00041917">
              <w:rPr>
                <w:rFonts w:ascii="Tahoma" w:hAnsi="Tahoma" w:cs="Tahoma"/>
                <w:color w:val="000000"/>
              </w:rPr>
              <w:t xml:space="preserve">. </w:t>
            </w:r>
          </w:p>
          <w:p w:rsidR="000F7925" w:rsidRPr="00041917" w:rsidRDefault="000F7925" w:rsidP="00D12F38">
            <w:pPr>
              <w:pStyle w:val="a6"/>
              <w:numPr>
                <w:ilvl w:val="0"/>
                <w:numId w:val="2"/>
              </w:numPr>
              <w:tabs>
                <w:tab w:val="clear" w:pos="1125"/>
              </w:tabs>
              <w:ind w:left="426"/>
              <w:rPr>
                <w:rFonts w:ascii="Tahoma" w:hAnsi="Tahoma" w:cs="Tahoma"/>
                <w:lang w:val="en-US"/>
              </w:rPr>
            </w:pPr>
            <w:r w:rsidRPr="00041917">
              <w:rPr>
                <w:rFonts w:ascii="Tahoma" w:hAnsi="Tahoma" w:cs="Tahoma"/>
              </w:rPr>
              <w:t xml:space="preserve">Hoffmann, Stanley (2000). Towards a Common European Foreign and Security Policy? </w:t>
            </w:r>
            <w:r w:rsidRPr="00041917">
              <w:rPr>
                <w:rFonts w:ascii="Tahoma" w:hAnsi="Tahoma" w:cs="Tahoma"/>
                <w:i/>
                <w:iCs/>
              </w:rPr>
              <w:t xml:space="preserve">Journal of Common Market Studies </w:t>
            </w:r>
            <w:r w:rsidRPr="00041917">
              <w:rPr>
                <w:rFonts w:ascii="Tahoma" w:hAnsi="Tahoma" w:cs="Tahoma"/>
              </w:rPr>
              <w:t>38(2), 189–198.</w:t>
            </w:r>
          </w:p>
          <w:p w:rsidR="000F7925" w:rsidRPr="00041917" w:rsidRDefault="000F7925" w:rsidP="00D12F38">
            <w:pPr>
              <w:pStyle w:val="a6"/>
              <w:numPr>
                <w:ilvl w:val="0"/>
                <w:numId w:val="2"/>
              </w:numPr>
              <w:tabs>
                <w:tab w:val="clear" w:pos="1125"/>
              </w:tabs>
              <w:ind w:left="426"/>
              <w:rPr>
                <w:rFonts w:ascii="Tahoma" w:hAnsi="Tahoma" w:cs="Tahoma"/>
                <w:lang w:val="en-US"/>
              </w:rPr>
            </w:pPr>
            <w:r w:rsidRPr="00041917">
              <w:rPr>
                <w:rFonts w:ascii="Tahoma" w:hAnsi="Tahoma" w:cs="Tahoma"/>
                <w:lang w:val="en-US"/>
              </w:rPr>
              <w:t>Krugman, Paul</w:t>
            </w:r>
            <w:r w:rsidRPr="00041917">
              <w:rPr>
                <w:rFonts w:ascii="Tahoma" w:hAnsi="Tahoma" w:cs="Tahoma"/>
              </w:rPr>
              <w:t xml:space="preserve"> (</w:t>
            </w:r>
            <w:r w:rsidRPr="00041917">
              <w:rPr>
                <w:rFonts w:ascii="Tahoma" w:hAnsi="Tahoma" w:cs="Tahoma"/>
                <w:lang w:val="en-US"/>
              </w:rPr>
              <w:t>2011</w:t>
            </w:r>
            <w:r w:rsidRPr="00041917">
              <w:rPr>
                <w:rFonts w:ascii="Tahoma" w:hAnsi="Tahoma" w:cs="Tahoma"/>
              </w:rPr>
              <w:t>)</w:t>
            </w:r>
            <w:r w:rsidRPr="00041917">
              <w:rPr>
                <w:rFonts w:ascii="Tahoma" w:hAnsi="Tahoma" w:cs="Tahoma"/>
                <w:lang w:val="en-US"/>
              </w:rPr>
              <w:t xml:space="preserve">. Can Europe Be Saved? </w:t>
            </w:r>
            <w:r w:rsidRPr="00041917">
              <w:rPr>
                <w:rFonts w:ascii="Tahoma" w:hAnsi="Tahoma" w:cs="Tahoma"/>
                <w:i/>
                <w:iCs/>
                <w:lang w:val="en-US"/>
              </w:rPr>
              <w:t xml:space="preserve">New York Times Magazine </w:t>
            </w:r>
            <w:r w:rsidRPr="00041917">
              <w:rPr>
                <w:rFonts w:ascii="Tahoma" w:hAnsi="Tahoma" w:cs="Tahoma"/>
                <w:lang w:val="en-US"/>
              </w:rPr>
              <w:t xml:space="preserve">(January 16). </w:t>
            </w:r>
          </w:p>
          <w:p w:rsidR="000F7925" w:rsidRPr="00041917" w:rsidRDefault="000F7925" w:rsidP="00D12F38">
            <w:pPr>
              <w:pStyle w:val="a6"/>
              <w:numPr>
                <w:ilvl w:val="0"/>
                <w:numId w:val="2"/>
              </w:numPr>
              <w:tabs>
                <w:tab w:val="clear" w:pos="1125"/>
              </w:tabs>
              <w:ind w:left="426"/>
              <w:rPr>
                <w:rFonts w:ascii="Tahoma" w:hAnsi="Tahoma" w:cs="Tahoma"/>
                <w:lang w:val="en-US"/>
              </w:rPr>
            </w:pPr>
            <w:r w:rsidRPr="00041917">
              <w:rPr>
                <w:rFonts w:ascii="Tahoma" w:hAnsi="Tahoma" w:cs="Tahoma"/>
              </w:rPr>
              <w:t xml:space="preserve">Lord, C., Thomassen, J., Etzioni, A. and Moravcsik, A. (2008). Does The EU Suffer from a Democratic Deficit? </w:t>
            </w:r>
            <w:r w:rsidRPr="00041917">
              <w:rPr>
                <w:rFonts w:ascii="Tahoma" w:hAnsi="Tahoma" w:cs="Tahoma"/>
                <w:i/>
                <w:iCs/>
              </w:rPr>
              <w:t xml:space="preserve">Intereconomics, </w:t>
            </w:r>
            <w:r w:rsidRPr="00041917">
              <w:rPr>
                <w:rFonts w:ascii="Tahoma" w:hAnsi="Tahoma" w:cs="Tahoma"/>
              </w:rPr>
              <w:t>Nov/Dec.</w:t>
            </w:r>
          </w:p>
          <w:p w:rsidR="000F7925" w:rsidRPr="00041917" w:rsidRDefault="000F7925" w:rsidP="00D12F38">
            <w:pPr>
              <w:pStyle w:val="a6"/>
              <w:numPr>
                <w:ilvl w:val="0"/>
                <w:numId w:val="2"/>
              </w:numPr>
              <w:tabs>
                <w:tab w:val="clear" w:pos="1125"/>
              </w:tabs>
              <w:ind w:left="426"/>
              <w:rPr>
                <w:rFonts w:ascii="Tahoma" w:hAnsi="Tahoma" w:cs="Tahoma"/>
                <w:lang w:val="en-US"/>
              </w:rPr>
            </w:pPr>
            <w:r w:rsidRPr="00041917">
              <w:rPr>
                <w:rFonts w:ascii="Tahoma" w:hAnsi="Tahoma" w:cs="Tahoma"/>
              </w:rPr>
              <w:t xml:space="preserve">Maggetti M. and Gilardi F. (2011). The policy-making structure of European regulatory networks and the domestic adoption of standards. </w:t>
            </w:r>
            <w:r w:rsidRPr="00041917">
              <w:rPr>
                <w:rFonts w:ascii="Tahoma" w:hAnsi="Tahoma" w:cs="Tahoma"/>
                <w:i/>
                <w:iCs/>
              </w:rPr>
              <w:t xml:space="preserve">Journal of European Public Policy </w:t>
            </w:r>
            <w:r w:rsidRPr="00041917">
              <w:rPr>
                <w:rFonts w:ascii="Tahoma" w:hAnsi="Tahoma" w:cs="Tahoma"/>
              </w:rPr>
              <w:t>18(6).</w:t>
            </w:r>
          </w:p>
          <w:p w:rsidR="000F7925" w:rsidRPr="00041917" w:rsidRDefault="000F7925" w:rsidP="00D12F38">
            <w:pPr>
              <w:pStyle w:val="a6"/>
              <w:numPr>
                <w:ilvl w:val="0"/>
                <w:numId w:val="2"/>
              </w:numPr>
              <w:tabs>
                <w:tab w:val="clear" w:pos="1125"/>
              </w:tabs>
              <w:ind w:left="426"/>
              <w:rPr>
                <w:rFonts w:ascii="Tahoma" w:hAnsi="Tahoma" w:cs="Tahoma"/>
                <w:lang w:val="en-US"/>
              </w:rPr>
            </w:pPr>
            <w:r w:rsidRPr="00041917">
              <w:rPr>
                <w:rFonts w:ascii="Tahoma" w:hAnsi="Tahoma" w:cs="Tahoma"/>
              </w:rPr>
              <w:lastRenderedPageBreak/>
              <w:t xml:space="preserve">Monnet, Jean (1962). A Ferment of Change. </w:t>
            </w:r>
            <w:r w:rsidRPr="00041917">
              <w:rPr>
                <w:rFonts w:ascii="Tahoma" w:hAnsi="Tahoma" w:cs="Tahoma"/>
                <w:i/>
                <w:iCs/>
              </w:rPr>
              <w:t xml:space="preserve">Journal of Common Market Studies </w:t>
            </w:r>
            <w:r w:rsidRPr="00041917">
              <w:rPr>
                <w:rFonts w:ascii="Tahoma" w:hAnsi="Tahoma" w:cs="Tahoma"/>
              </w:rPr>
              <w:t xml:space="preserve">1(1), 203–211. </w:t>
            </w:r>
          </w:p>
          <w:p w:rsidR="000F7925" w:rsidRPr="00041917" w:rsidRDefault="000F7925" w:rsidP="00D12F38">
            <w:pPr>
              <w:pStyle w:val="a6"/>
              <w:numPr>
                <w:ilvl w:val="0"/>
                <w:numId w:val="2"/>
              </w:numPr>
              <w:tabs>
                <w:tab w:val="clear" w:pos="1125"/>
              </w:tabs>
              <w:autoSpaceDE w:val="0"/>
              <w:autoSpaceDN w:val="0"/>
              <w:adjustRightInd w:val="0"/>
              <w:ind w:left="426"/>
              <w:rPr>
                <w:rFonts w:ascii="Tahoma" w:hAnsi="Tahoma" w:cs="Tahoma"/>
                <w:color w:val="000000"/>
                <w:lang w:val="en-US"/>
              </w:rPr>
            </w:pPr>
            <w:r w:rsidRPr="00041917">
              <w:rPr>
                <w:rFonts w:ascii="Tahoma" w:hAnsi="Tahoma" w:cs="Tahoma"/>
              </w:rPr>
              <w:t xml:space="preserve">Moravcsik, Andrew (2010). Europe, the Second Superpower. </w:t>
            </w:r>
            <w:r w:rsidRPr="00041917">
              <w:rPr>
                <w:rFonts w:ascii="Tahoma" w:hAnsi="Tahoma" w:cs="Tahoma"/>
                <w:i/>
                <w:iCs/>
              </w:rPr>
              <w:t>Current History</w:t>
            </w:r>
            <w:r w:rsidRPr="00041917">
              <w:rPr>
                <w:rFonts w:ascii="Tahoma" w:hAnsi="Tahoma" w:cs="Tahoma"/>
              </w:rPr>
              <w:t xml:space="preserve"> 109 (725).</w:t>
            </w:r>
          </w:p>
          <w:p w:rsidR="000F7925" w:rsidRPr="00041917" w:rsidRDefault="000F7925" w:rsidP="00D12F38">
            <w:pPr>
              <w:pStyle w:val="a6"/>
              <w:numPr>
                <w:ilvl w:val="0"/>
                <w:numId w:val="2"/>
              </w:numPr>
              <w:tabs>
                <w:tab w:val="clear" w:pos="1125"/>
              </w:tabs>
              <w:ind w:left="426"/>
              <w:rPr>
                <w:rFonts w:ascii="Tahoma" w:hAnsi="Tahoma" w:cs="Tahoma"/>
                <w:lang w:val="en-US"/>
              </w:rPr>
            </w:pPr>
            <w:r w:rsidRPr="00041917">
              <w:rPr>
                <w:rFonts w:ascii="Tahoma" w:hAnsi="Tahoma" w:cs="Tahoma"/>
              </w:rPr>
              <w:t xml:space="preserve">Moravcsik, Andrew (2012). Europe After the Crisis. </w:t>
            </w:r>
            <w:r w:rsidRPr="00041917">
              <w:rPr>
                <w:rFonts w:ascii="Tahoma" w:hAnsi="Tahoma" w:cs="Tahoma"/>
                <w:i/>
                <w:iCs/>
              </w:rPr>
              <w:t xml:space="preserve">Foreign Affairs </w:t>
            </w:r>
            <w:r w:rsidRPr="00041917">
              <w:rPr>
                <w:rFonts w:ascii="Tahoma" w:hAnsi="Tahoma" w:cs="Tahoma"/>
              </w:rPr>
              <w:t>91(3), 54–68.</w:t>
            </w:r>
          </w:p>
          <w:p w:rsidR="000F7925" w:rsidRPr="00041917" w:rsidRDefault="000F7925" w:rsidP="00D12F38">
            <w:pPr>
              <w:pStyle w:val="a6"/>
              <w:numPr>
                <w:ilvl w:val="0"/>
                <w:numId w:val="2"/>
              </w:numPr>
              <w:tabs>
                <w:tab w:val="clear" w:pos="1125"/>
              </w:tabs>
              <w:ind w:left="426"/>
              <w:rPr>
                <w:rFonts w:ascii="Tahoma" w:hAnsi="Tahoma" w:cs="Tahoma"/>
                <w:lang w:val="en-US"/>
              </w:rPr>
            </w:pPr>
            <w:r w:rsidRPr="00041917">
              <w:rPr>
                <w:rFonts w:ascii="Tahoma" w:hAnsi="Tahoma" w:cs="Tahoma"/>
              </w:rPr>
              <w:t xml:space="preserve">Pollack, Mark A (2009). Europe United? The Impact of the EU’s Eastern Enlargement, Five Years On. </w:t>
            </w:r>
            <w:r w:rsidRPr="00041917">
              <w:rPr>
                <w:rFonts w:ascii="Tahoma" w:hAnsi="Tahoma" w:cs="Tahoma"/>
                <w:i/>
                <w:iCs/>
              </w:rPr>
              <w:t xml:space="preserve">European View </w:t>
            </w:r>
            <w:r w:rsidRPr="00041917">
              <w:rPr>
                <w:rFonts w:ascii="Tahoma" w:hAnsi="Tahoma" w:cs="Tahoma"/>
              </w:rPr>
              <w:t>8, 239–254.</w:t>
            </w:r>
          </w:p>
          <w:p w:rsidR="000F7925" w:rsidRPr="00041917" w:rsidRDefault="000F7925" w:rsidP="00D12F38">
            <w:pPr>
              <w:pStyle w:val="a6"/>
              <w:numPr>
                <w:ilvl w:val="0"/>
                <w:numId w:val="2"/>
              </w:numPr>
              <w:tabs>
                <w:tab w:val="clear" w:pos="1125"/>
              </w:tabs>
              <w:ind w:left="426"/>
              <w:rPr>
                <w:rFonts w:ascii="Tahoma" w:hAnsi="Tahoma" w:cs="Tahoma"/>
                <w:lang w:val="en-US"/>
              </w:rPr>
            </w:pPr>
            <w:r w:rsidRPr="00041917">
              <w:rPr>
                <w:rFonts w:ascii="Tahoma" w:hAnsi="Tahoma" w:cs="Tahoma"/>
              </w:rPr>
              <w:t xml:space="preserve">Pollack, Mark A. (1997). Delegation, Agency, and Agenda Setting in the European Community. </w:t>
            </w:r>
            <w:r w:rsidRPr="00041917">
              <w:rPr>
                <w:rFonts w:ascii="Tahoma" w:hAnsi="Tahoma" w:cs="Tahoma"/>
                <w:i/>
                <w:iCs/>
              </w:rPr>
              <w:t xml:space="preserve">International Organization </w:t>
            </w:r>
            <w:r w:rsidRPr="00041917">
              <w:rPr>
                <w:rFonts w:ascii="Tahoma" w:hAnsi="Tahoma" w:cs="Tahoma"/>
              </w:rPr>
              <w:t>51(1), 99–134.</w:t>
            </w:r>
          </w:p>
          <w:p w:rsidR="000F7925" w:rsidRPr="00041917" w:rsidRDefault="000F7925" w:rsidP="00D12F38">
            <w:pPr>
              <w:pStyle w:val="a6"/>
              <w:numPr>
                <w:ilvl w:val="0"/>
                <w:numId w:val="2"/>
              </w:numPr>
              <w:tabs>
                <w:tab w:val="clear" w:pos="1125"/>
              </w:tabs>
              <w:ind w:left="426"/>
              <w:rPr>
                <w:rFonts w:ascii="Tahoma" w:hAnsi="Tahoma" w:cs="Tahoma"/>
                <w:lang w:val="en-US"/>
              </w:rPr>
            </w:pPr>
            <w:r w:rsidRPr="00041917">
              <w:rPr>
                <w:rFonts w:ascii="Tahoma" w:hAnsi="Tahoma" w:cs="Tahoma"/>
              </w:rPr>
              <w:t>Schuman Declaration (1950) (</w:t>
            </w:r>
            <w:r w:rsidRPr="005C62B7">
              <w:rPr>
                <w:rFonts w:ascii="Tahoma" w:hAnsi="Tahoma" w:cs="Tahoma"/>
              </w:rPr>
              <w:t>http://europa.eu/about-eu/basic-information/symbols/europe-day/schuman-declaration/index_en.htm</w:t>
            </w:r>
            <w:r w:rsidRPr="00041917">
              <w:rPr>
                <w:rFonts w:ascii="Tahoma" w:hAnsi="Tahoma" w:cs="Tahoma"/>
              </w:rPr>
              <w:t xml:space="preserve">). </w:t>
            </w:r>
          </w:p>
          <w:p w:rsidR="000F7925" w:rsidRPr="00041917" w:rsidRDefault="000F7925" w:rsidP="00D12F38">
            <w:pPr>
              <w:pStyle w:val="a6"/>
              <w:numPr>
                <w:ilvl w:val="0"/>
                <w:numId w:val="2"/>
              </w:numPr>
              <w:tabs>
                <w:tab w:val="clear" w:pos="1125"/>
              </w:tabs>
              <w:autoSpaceDE w:val="0"/>
              <w:autoSpaceDN w:val="0"/>
              <w:adjustRightInd w:val="0"/>
              <w:ind w:left="426"/>
              <w:rPr>
                <w:rFonts w:ascii="Tahoma" w:hAnsi="Tahoma" w:cs="Tahoma"/>
                <w:color w:val="000000"/>
                <w:lang w:val="en-US"/>
              </w:rPr>
            </w:pPr>
            <w:r w:rsidRPr="00041917">
              <w:rPr>
                <w:rFonts w:ascii="Tahoma" w:eastAsia="Calibri" w:hAnsi="Tahoma" w:cs="Tahoma"/>
                <w:color w:val="000000"/>
                <w:lang w:val="en-US" w:eastAsia="en-US"/>
              </w:rPr>
              <w:t>Shepherd</w:t>
            </w:r>
            <w:r w:rsidRPr="00041917">
              <w:rPr>
                <w:rFonts w:ascii="Tahoma" w:eastAsia="Calibri" w:hAnsi="Tahoma" w:cs="Tahoma"/>
                <w:color w:val="000000"/>
                <w:lang w:eastAsia="en-US"/>
              </w:rPr>
              <w:t xml:space="preserve">, </w:t>
            </w:r>
            <w:r w:rsidRPr="00041917">
              <w:rPr>
                <w:rFonts w:ascii="Tahoma" w:eastAsia="Calibri" w:hAnsi="Tahoma" w:cs="Tahoma"/>
                <w:color w:val="000000"/>
                <w:lang w:val="en-US" w:eastAsia="en-US"/>
              </w:rPr>
              <w:t xml:space="preserve">Alistair J. K </w:t>
            </w:r>
            <w:r w:rsidRPr="00041917">
              <w:rPr>
                <w:rFonts w:ascii="Tahoma" w:eastAsia="Calibri" w:hAnsi="Tahoma" w:cs="Tahoma"/>
                <w:color w:val="000000"/>
                <w:lang w:eastAsia="en-US"/>
              </w:rPr>
              <w:t>(</w:t>
            </w:r>
            <w:r w:rsidRPr="00041917">
              <w:rPr>
                <w:rFonts w:ascii="Tahoma" w:eastAsia="Calibri" w:hAnsi="Tahoma" w:cs="Tahoma"/>
                <w:color w:val="000000"/>
                <w:lang w:val="en-US" w:eastAsia="en-US"/>
              </w:rPr>
              <w:t>2009</w:t>
            </w:r>
            <w:r w:rsidRPr="00041917">
              <w:rPr>
                <w:rFonts w:ascii="Tahoma" w:eastAsia="Calibri" w:hAnsi="Tahoma" w:cs="Tahoma"/>
                <w:color w:val="000000"/>
                <w:lang w:eastAsia="en-US"/>
              </w:rPr>
              <w:t xml:space="preserve">). </w:t>
            </w:r>
            <w:r w:rsidRPr="00041917">
              <w:rPr>
                <w:rFonts w:ascii="Tahoma" w:eastAsia="Calibri" w:hAnsi="Tahoma" w:cs="Tahoma"/>
                <w:color w:val="000000"/>
                <w:lang w:val="en-US" w:eastAsia="en-US"/>
              </w:rPr>
              <w:t>A milestone in the history of the EU: Kosovo and the EU’s international role</w:t>
            </w:r>
            <w:r w:rsidRPr="00041917">
              <w:rPr>
                <w:rFonts w:ascii="Tahoma" w:eastAsia="Calibri" w:hAnsi="Tahoma" w:cs="Tahoma"/>
                <w:color w:val="000000"/>
                <w:lang w:eastAsia="en-US"/>
              </w:rPr>
              <w:t>.</w:t>
            </w:r>
            <w:r w:rsidRPr="00041917">
              <w:rPr>
                <w:rFonts w:ascii="Tahoma" w:eastAsia="Calibri" w:hAnsi="Tahoma" w:cs="Tahoma"/>
                <w:color w:val="000000"/>
                <w:lang w:val="en-US" w:eastAsia="en-US"/>
              </w:rPr>
              <w:t xml:space="preserve"> </w:t>
            </w:r>
            <w:r w:rsidRPr="00041917">
              <w:rPr>
                <w:rFonts w:ascii="Tahoma" w:eastAsia="Calibri" w:hAnsi="Tahoma" w:cs="Tahoma"/>
                <w:i/>
                <w:iCs/>
                <w:color w:val="000000"/>
                <w:lang w:val="en-US" w:eastAsia="en-US"/>
              </w:rPr>
              <w:t xml:space="preserve">International Affairs </w:t>
            </w:r>
            <w:r w:rsidRPr="00041917">
              <w:rPr>
                <w:rFonts w:ascii="Tahoma" w:eastAsia="Calibri" w:hAnsi="Tahoma" w:cs="Tahoma"/>
                <w:color w:val="000000"/>
                <w:lang w:val="en-US" w:eastAsia="en-US"/>
              </w:rPr>
              <w:t>85</w:t>
            </w:r>
            <w:r w:rsidRPr="00041917">
              <w:rPr>
                <w:rFonts w:ascii="Tahoma" w:eastAsia="Calibri" w:hAnsi="Tahoma" w:cs="Tahoma"/>
                <w:color w:val="000000"/>
                <w:lang w:eastAsia="en-US"/>
              </w:rPr>
              <w:t>(</w:t>
            </w:r>
            <w:r w:rsidRPr="00041917">
              <w:rPr>
                <w:rFonts w:ascii="Tahoma" w:eastAsia="Calibri" w:hAnsi="Tahoma" w:cs="Tahoma"/>
                <w:color w:val="000000"/>
                <w:lang w:val="en-US" w:eastAsia="en-US"/>
              </w:rPr>
              <w:t>3</w:t>
            </w:r>
            <w:r w:rsidRPr="00041917">
              <w:rPr>
                <w:rFonts w:ascii="Tahoma" w:eastAsia="Calibri" w:hAnsi="Tahoma" w:cs="Tahoma"/>
                <w:color w:val="000000"/>
                <w:lang w:eastAsia="en-US"/>
              </w:rPr>
              <w:t>),</w:t>
            </w:r>
            <w:r w:rsidRPr="00041917">
              <w:rPr>
                <w:rFonts w:ascii="Tahoma" w:eastAsia="Calibri" w:hAnsi="Tahoma" w:cs="Tahoma"/>
                <w:color w:val="000000"/>
                <w:lang w:val="en-US" w:eastAsia="en-US"/>
              </w:rPr>
              <w:t xml:space="preserve"> 513–530.</w:t>
            </w:r>
          </w:p>
          <w:p w:rsidR="000F7925" w:rsidRPr="00041917" w:rsidRDefault="000F7925" w:rsidP="00D12F38">
            <w:pPr>
              <w:pStyle w:val="a6"/>
              <w:numPr>
                <w:ilvl w:val="0"/>
                <w:numId w:val="2"/>
              </w:numPr>
              <w:tabs>
                <w:tab w:val="clear" w:pos="1125"/>
              </w:tabs>
              <w:autoSpaceDE w:val="0"/>
              <w:autoSpaceDN w:val="0"/>
              <w:adjustRightInd w:val="0"/>
              <w:ind w:left="426"/>
              <w:rPr>
                <w:rFonts w:ascii="Tahoma" w:hAnsi="Tahoma" w:cs="Tahoma"/>
                <w:color w:val="000000"/>
              </w:rPr>
            </w:pPr>
            <w:r w:rsidRPr="00041917">
              <w:rPr>
                <w:rFonts w:ascii="Tahoma" w:hAnsi="Tahoma" w:cs="Tahoma"/>
              </w:rPr>
              <w:t>Бояр А. О. Досвід економічної інтеграції третіх країн з ЄС // Економічна і соціальна географія: Науковий збірник. – К.: Видавництво географічної літератури «Обрії», 2008. – Випуск 58. – С. 289–299.</w:t>
            </w:r>
          </w:p>
          <w:p w:rsidR="000F7925" w:rsidRPr="00041917" w:rsidRDefault="000F7925" w:rsidP="00D12F38">
            <w:pPr>
              <w:pStyle w:val="a6"/>
              <w:numPr>
                <w:ilvl w:val="0"/>
                <w:numId w:val="2"/>
              </w:numPr>
              <w:tabs>
                <w:tab w:val="clear" w:pos="1125"/>
              </w:tabs>
              <w:autoSpaceDE w:val="0"/>
              <w:autoSpaceDN w:val="0"/>
              <w:adjustRightInd w:val="0"/>
              <w:ind w:left="426"/>
              <w:rPr>
                <w:rFonts w:ascii="Tahoma" w:hAnsi="Tahoma" w:cs="Tahoma"/>
                <w:color w:val="000000"/>
              </w:rPr>
            </w:pPr>
            <w:r w:rsidRPr="00041917">
              <w:rPr>
                <w:rFonts w:ascii="Tahoma" w:hAnsi="Tahoma" w:cs="Tahoma"/>
              </w:rPr>
              <w:t xml:space="preserve">Бояр А. О. Європейський Союз у світовій торгівлі // </w:t>
            </w:r>
            <w:r w:rsidRPr="00041917">
              <w:rPr>
                <w:rStyle w:val="HTML"/>
                <w:rFonts w:ascii="Tahoma" w:hAnsi="Tahoma" w:cs="Tahoma"/>
                <w:bCs/>
                <w:iCs/>
              </w:rPr>
              <w:t xml:space="preserve">Науковий вісник ВДУ імені Лесі Українки. Міжнародні відносини. </w:t>
            </w:r>
            <w:r w:rsidRPr="00041917">
              <w:rPr>
                <w:rFonts w:ascii="Tahoma" w:hAnsi="Tahoma" w:cs="Tahoma"/>
              </w:rPr>
              <w:t xml:space="preserve">Міжнародні відносини. – Луцьк: РВВ “Вежа” ВНУ імені Лесі Українки, </w:t>
            </w:r>
            <w:r w:rsidRPr="00041917">
              <w:rPr>
                <w:rFonts w:ascii="Tahoma" w:hAnsi="Tahoma" w:cs="Tahoma"/>
                <w:iCs/>
              </w:rPr>
              <w:t xml:space="preserve">2007. </w:t>
            </w:r>
            <w:r w:rsidRPr="00041917">
              <w:rPr>
                <w:rFonts w:ascii="Tahoma" w:hAnsi="Tahoma" w:cs="Tahoma"/>
              </w:rPr>
              <w:t xml:space="preserve">– </w:t>
            </w:r>
            <w:r w:rsidRPr="00041917">
              <w:rPr>
                <w:rFonts w:ascii="Tahoma" w:hAnsi="Tahoma" w:cs="Tahoma"/>
                <w:iCs/>
              </w:rPr>
              <w:t>№ 7. – С. 159–168.</w:t>
            </w:r>
          </w:p>
          <w:p w:rsidR="000F7925" w:rsidRPr="00041917" w:rsidRDefault="000F7925" w:rsidP="00D12F38">
            <w:pPr>
              <w:pStyle w:val="a6"/>
              <w:numPr>
                <w:ilvl w:val="0"/>
                <w:numId w:val="2"/>
              </w:numPr>
              <w:tabs>
                <w:tab w:val="clear" w:pos="1125"/>
              </w:tabs>
              <w:autoSpaceDE w:val="0"/>
              <w:autoSpaceDN w:val="0"/>
              <w:adjustRightInd w:val="0"/>
              <w:ind w:left="426"/>
              <w:rPr>
                <w:rFonts w:ascii="Tahoma" w:hAnsi="Tahoma" w:cs="Tahoma"/>
                <w:color w:val="000000"/>
              </w:rPr>
            </w:pPr>
            <w:r w:rsidRPr="00041917">
              <w:rPr>
                <w:rFonts w:ascii="Tahoma" w:hAnsi="Tahoma" w:cs="Tahoma"/>
              </w:rPr>
              <w:t xml:space="preserve">Бояр А. О. Проблеми та перспективи розвитку єдиного ринку </w:t>
            </w:r>
            <w:r w:rsidRPr="00041917">
              <w:rPr>
                <w:rFonts w:ascii="Tahoma" w:hAnsi="Tahoma" w:cs="Tahoma"/>
                <w:bCs/>
                <w:iCs/>
              </w:rPr>
              <w:t xml:space="preserve">Європейського Союзу </w:t>
            </w:r>
            <w:r w:rsidRPr="00041917">
              <w:rPr>
                <w:rFonts w:ascii="Tahoma" w:hAnsi="Tahoma" w:cs="Tahoma"/>
              </w:rPr>
              <w:t xml:space="preserve">// </w:t>
            </w:r>
            <w:r w:rsidRPr="00041917">
              <w:rPr>
                <w:rStyle w:val="HTML"/>
                <w:rFonts w:ascii="Tahoma" w:hAnsi="Tahoma" w:cs="Tahoma"/>
                <w:bCs/>
                <w:iCs/>
              </w:rPr>
              <w:t xml:space="preserve">Науковий вісник ВНУ ім. Лесі Українки. Міжнародні відносини. </w:t>
            </w:r>
            <w:r w:rsidRPr="00041917">
              <w:rPr>
                <w:rFonts w:ascii="Tahoma" w:hAnsi="Tahoma" w:cs="Tahoma"/>
                <w:iCs/>
              </w:rPr>
              <w:t xml:space="preserve">– 2009. </w:t>
            </w:r>
            <w:r w:rsidRPr="00041917">
              <w:rPr>
                <w:rFonts w:ascii="Tahoma" w:hAnsi="Tahoma" w:cs="Tahoma"/>
              </w:rPr>
              <w:t xml:space="preserve">– </w:t>
            </w:r>
            <w:r w:rsidRPr="00041917">
              <w:rPr>
                <w:rFonts w:ascii="Tahoma" w:hAnsi="Tahoma" w:cs="Tahoma"/>
                <w:iCs/>
              </w:rPr>
              <w:t>№ 3. – С. 170–177.</w:t>
            </w:r>
          </w:p>
          <w:p w:rsidR="000F7925" w:rsidRPr="00041917" w:rsidRDefault="000F7925" w:rsidP="00D12F38">
            <w:pPr>
              <w:pStyle w:val="a6"/>
              <w:numPr>
                <w:ilvl w:val="0"/>
                <w:numId w:val="2"/>
              </w:numPr>
              <w:tabs>
                <w:tab w:val="clear" w:pos="1125"/>
              </w:tabs>
              <w:autoSpaceDE w:val="0"/>
              <w:autoSpaceDN w:val="0"/>
              <w:adjustRightInd w:val="0"/>
              <w:ind w:left="426"/>
              <w:rPr>
                <w:rFonts w:ascii="Tahoma" w:hAnsi="Tahoma" w:cs="Tahoma"/>
                <w:color w:val="000000"/>
              </w:rPr>
            </w:pPr>
            <w:r w:rsidRPr="00041917">
              <w:rPr>
                <w:rFonts w:ascii="Tahoma" w:hAnsi="Tahoma" w:cs="Tahoma"/>
                <w:bCs/>
                <w:color w:val="231F20"/>
              </w:rPr>
              <w:t xml:space="preserve">Войтенко І. Р. Наднаціональні інституції Європейського Союзу // </w:t>
            </w:r>
            <w:r w:rsidRPr="00041917">
              <w:rPr>
                <w:rFonts w:ascii="Tahoma" w:hAnsi="Tahoma" w:cs="Tahoma"/>
                <w:color w:val="231F20"/>
              </w:rPr>
              <w:t>Стратегічні пріоритети. – 2009. – № 4(13). – С. 231–236.</w:t>
            </w:r>
          </w:p>
          <w:p w:rsidR="000F7925" w:rsidRPr="00041917" w:rsidRDefault="000F7925" w:rsidP="00D12F38">
            <w:pPr>
              <w:pStyle w:val="a6"/>
              <w:numPr>
                <w:ilvl w:val="0"/>
                <w:numId w:val="2"/>
              </w:numPr>
              <w:tabs>
                <w:tab w:val="clear" w:pos="1125"/>
              </w:tabs>
              <w:autoSpaceDE w:val="0"/>
              <w:autoSpaceDN w:val="0"/>
              <w:adjustRightInd w:val="0"/>
              <w:ind w:left="426"/>
              <w:rPr>
                <w:rFonts w:ascii="Tahoma" w:hAnsi="Tahoma" w:cs="Tahoma"/>
                <w:color w:val="000000"/>
                <w:lang w:val="ru-RU"/>
              </w:rPr>
            </w:pPr>
            <w:r w:rsidRPr="00041917">
              <w:rPr>
                <w:rFonts w:ascii="Tahoma" w:hAnsi="Tahoma" w:cs="Tahoma"/>
              </w:rPr>
              <w:t xml:space="preserve">Грицяк </w:t>
            </w:r>
            <w:r w:rsidRPr="00041917">
              <w:rPr>
                <w:rFonts w:ascii="Tahoma" w:hAnsi="Tahoma" w:cs="Tahoma"/>
                <w:lang w:val="ru-RU"/>
              </w:rPr>
              <w:t>І. А. Правова та інституційна основи Європейського Союзу</w:t>
            </w:r>
            <w:r w:rsidRPr="00041917">
              <w:rPr>
                <w:rFonts w:ascii="Tahoma" w:hAnsi="Tahoma" w:cs="Tahoma"/>
              </w:rPr>
              <w:t> </w:t>
            </w:r>
            <w:r w:rsidRPr="00041917">
              <w:rPr>
                <w:rFonts w:ascii="Tahoma" w:hAnsi="Tahoma" w:cs="Tahoma"/>
                <w:lang w:val="ru-RU"/>
              </w:rPr>
              <w:t>: підр.</w:t>
            </w:r>
            <w:r w:rsidRPr="00041917">
              <w:rPr>
                <w:rFonts w:ascii="Tahoma" w:hAnsi="Tahoma" w:cs="Tahoma"/>
              </w:rPr>
              <w:t> </w:t>
            </w:r>
            <w:r w:rsidRPr="00041917">
              <w:rPr>
                <w:rFonts w:ascii="Tahoma" w:hAnsi="Tahoma" w:cs="Tahoma"/>
                <w:lang w:val="ru-RU"/>
              </w:rPr>
              <w:t>/ І.</w:t>
            </w:r>
            <w:r w:rsidRPr="00041917">
              <w:rPr>
                <w:rFonts w:ascii="Tahoma" w:hAnsi="Tahoma" w:cs="Tahoma"/>
              </w:rPr>
              <w:t> </w:t>
            </w:r>
            <w:r w:rsidRPr="00041917">
              <w:rPr>
                <w:rFonts w:ascii="Tahoma" w:hAnsi="Tahoma" w:cs="Tahoma"/>
                <w:lang w:val="ru-RU"/>
              </w:rPr>
              <w:t xml:space="preserve">А Грицяк, В. В. Говоруха, В. Ю. Стрельцов / </w:t>
            </w:r>
            <w:r w:rsidRPr="00041917">
              <w:rPr>
                <w:rFonts w:ascii="Tahoma" w:hAnsi="Tahoma" w:cs="Tahoma"/>
              </w:rPr>
              <w:t>з</w:t>
            </w:r>
            <w:r w:rsidRPr="00041917">
              <w:rPr>
                <w:rFonts w:ascii="Tahoma" w:hAnsi="Tahoma" w:cs="Tahoma"/>
                <w:lang w:val="ru-RU"/>
              </w:rPr>
              <w:t xml:space="preserve">а заг. ред. </w:t>
            </w:r>
            <w:r w:rsidRPr="00041917">
              <w:rPr>
                <w:rFonts w:ascii="Tahoma" w:hAnsi="Tahoma" w:cs="Tahoma"/>
              </w:rPr>
              <w:t>М. Бойцуна та ін. – Х. : Вид-во ХарРІ НАДУ „Магістр”, 2009. – 620 с.</w:t>
            </w:r>
          </w:p>
          <w:p w:rsidR="000F7925" w:rsidRPr="00041917" w:rsidRDefault="000F7925" w:rsidP="00D12F38">
            <w:pPr>
              <w:pStyle w:val="a6"/>
              <w:numPr>
                <w:ilvl w:val="0"/>
                <w:numId w:val="2"/>
              </w:numPr>
              <w:tabs>
                <w:tab w:val="clear" w:pos="1125"/>
              </w:tabs>
              <w:autoSpaceDE w:val="0"/>
              <w:autoSpaceDN w:val="0"/>
              <w:adjustRightInd w:val="0"/>
              <w:ind w:left="426"/>
              <w:rPr>
                <w:rFonts w:ascii="Tahoma" w:hAnsi="Tahoma" w:cs="Tahoma"/>
                <w:color w:val="000000"/>
                <w:lang w:val="en-US"/>
              </w:rPr>
            </w:pPr>
            <w:r w:rsidRPr="00041917">
              <w:rPr>
                <w:rFonts w:ascii="Tahoma" w:hAnsi="Tahoma" w:cs="Tahoma"/>
              </w:rPr>
              <w:t>Копійка В. В., Шинкаренко Т. І. Європейський Союз: заснування і етапи становлення: навч. посіб. – К.: Вид. Дім “Ін Юре”, 2001. – 448 с.</w:t>
            </w:r>
          </w:p>
          <w:p w:rsidR="000F7925" w:rsidRPr="00041917" w:rsidRDefault="000F7925" w:rsidP="00D12F38">
            <w:pPr>
              <w:pStyle w:val="a6"/>
              <w:numPr>
                <w:ilvl w:val="0"/>
                <w:numId w:val="2"/>
              </w:numPr>
              <w:tabs>
                <w:tab w:val="clear" w:pos="1125"/>
              </w:tabs>
              <w:autoSpaceDE w:val="0"/>
              <w:autoSpaceDN w:val="0"/>
              <w:adjustRightInd w:val="0"/>
              <w:ind w:left="426"/>
              <w:rPr>
                <w:rFonts w:ascii="Tahoma" w:hAnsi="Tahoma" w:cs="Tahoma"/>
                <w:color w:val="000000"/>
              </w:rPr>
            </w:pPr>
            <w:r w:rsidRPr="00041917">
              <w:rPr>
                <w:rFonts w:ascii="Tahoma" w:eastAsia="Calibri" w:hAnsi="Tahoma" w:cs="Tahoma"/>
                <w:bCs/>
                <w:color w:val="000000"/>
              </w:rPr>
              <w:t xml:space="preserve">Нікітіна К.В. Правотворча діяльнсіть інститутів ЄС: актуальні питання теорії і практики // </w:t>
            </w:r>
            <w:r w:rsidRPr="00041917">
              <w:rPr>
                <w:rFonts w:ascii="Tahoma" w:hAnsi="Tahoma" w:cs="Tahoma"/>
              </w:rPr>
              <w:t>Часопис Академії адвокатури України. – 2013. – № 19(2). – С. 1–4.</w:t>
            </w:r>
          </w:p>
          <w:p w:rsidR="000F7925" w:rsidRPr="00041917" w:rsidRDefault="000F7925" w:rsidP="00D12F38">
            <w:pPr>
              <w:pStyle w:val="a6"/>
              <w:numPr>
                <w:ilvl w:val="0"/>
                <w:numId w:val="2"/>
              </w:numPr>
              <w:tabs>
                <w:tab w:val="clear" w:pos="1125"/>
              </w:tabs>
              <w:autoSpaceDE w:val="0"/>
              <w:autoSpaceDN w:val="0"/>
              <w:adjustRightInd w:val="0"/>
              <w:ind w:left="426"/>
              <w:rPr>
                <w:rFonts w:ascii="Tahoma" w:hAnsi="Tahoma" w:cs="Tahoma"/>
                <w:color w:val="000000"/>
                <w:lang w:val="ru-RU"/>
              </w:rPr>
            </w:pPr>
            <w:r w:rsidRPr="00041917">
              <w:rPr>
                <w:rFonts w:ascii="Tahoma" w:hAnsi="Tahoma" w:cs="Tahoma"/>
                <w:lang w:val="ru-RU"/>
              </w:rPr>
              <w:t>Посельський В. Конституційний устрій Європейського Союзу</w:t>
            </w:r>
            <w:r w:rsidRPr="00041917">
              <w:rPr>
                <w:rFonts w:ascii="Tahoma" w:hAnsi="Tahoma" w:cs="Tahoma"/>
              </w:rPr>
              <w:t> </w:t>
            </w:r>
            <w:r w:rsidRPr="00041917">
              <w:rPr>
                <w:rFonts w:ascii="Tahoma" w:hAnsi="Tahoma" w:cs="Tahoma"/>
                <w:lang w:val="ru-RU"/>
              </w:rPr>
              <w:t>: навч. посіб. / В. Посельський. – К.</w:t>
            </w:r>
            <w:r w:rsidRPr="00041917">
              <w:rPr>
                <w:rFonts w:ascii="Tahoma" w:hAnsi="Tahoma" w:cs="Tahoma"/>
              </w:rPr>
              <w:t> </w:t>
            </w:r>
            <w:r w:rsidRPr="00041917">
              <w:rPr>
                <w:rFonts w:ascii="Tahoma" w:hAnsi="Tahoma" w:cs="Tahoma"/>
                <w:lang w:val="ru-RU"/>
              </w:rPr>
              <w:t>: Таксон, 2005. – 280 с.</w:t>
            </w:r>
          </w:p>
          <w:p w:rsidR="000F7925" w:rsidRPr="00041917" w:rsidRDefault="000F7925" w:rsidP="00D12F38">
            <w:pPr>
              <w:pStyle w:val="a6"/>
              <w:numPr>
                <w:ilvl w:val="0"/>
                <w:numId w:val="2"/>
              </w:numPr>
              <w:tabs>
                <w:tab w:val="clear" w:pos="1125"/>
              </w:tabs>
              <w:autoSpaceDE w:val="0"/>
              <w:autoSpaceDN w:val="0"/>
              <w:adjustRightInd w:val="0"/>
              <w:ind w:left="426"/>
              <w:rPr>
                <w:rFonts w:ascii="Tahoma" w:hAnsi="Tahoma" w:cs="Tahoma"/>
                <w:color w:val="000000"/>
              </w:rPr>
            </w:pPr>
            <w:r w:rsidRPr="00041917">
              <w:rPr>
                <w:rFonts w:ascii="Tahoma" w:hAnsi="Tahoma" w:cs="Tahoma"/>
              </w:rPr>
              <w:t xml:space="preserve">Фонтет П. Європа у 12 уроках / Європейський Союз . – К.: ТОВ «Август Трейд», 2013. – 80 с. </w:t>
            </w:r>
            <w:r w:rsidRPr="005C62B7">
              <w:rPr>
                <w:rFonts w:ascii="Tahoma" w:hAnsi="Tahoma" w:cs="Tahoma"/>
              </w:rPr>
              <w:t>http://eeas.europa.eu/delegations/ukraine/documents/virtual_library/12_ lessons_uk.pdf</w:t>
            </w:r>
            <w:r w:rsidRPr="00041917">
              <w:rPr>
                <w:rFonts w:ascii="Tahoma" w:hAnsi="Tahoma" w:cs="Tahoma"/>
              </w:rPr>
              <w:t xml:space="preserve"> </w:t>
            </w:r>
          </w:p>
          <w:p w:rsidR="000F7925" w:rsidRPr="005C62B7" w:rsidRDefault="000F7925" w:rsidP="00D12F38">
            <w:pPr>
              <w:pStyle w:val="a6"/>
              <w:numPr>
                <w:ilvl w:val="0"/>
                <w:numId w:val="2"/>
              </w:numPr>
              <w:tabs>
                <w:tab w:val="clear" w:pos="1125"/>
              </w:tabs>
              <w:autoSpaceDE w:val="0"/>
              <w:autoSpaceDN w:val="0"/>
              <w:adjustRightInd w:val="0"/>
              <w:ind w:left="426"/>
              <w:rPr>
                <w:rFonts w:ascii="Tahoma" w:hAnsi="Tahoma" w:cs="Tahoma"/>
                <w:color w:val="000000"/>
              </w:rPr>
            </w:pPr>
            <w:r w:rsidRPr="00041917">
              <w:rPr>
                <w:rFonts w:ascii="Tahoma" w:hAnsi="Tahoma" w:cs="Tahoma"/>
              </w:rPr>
              <w:t>Як працює Європейський Союз: довідник інституцій ЄС / Європейський Союз . – К.: ТОВ «</w:t>
            </w:r>
            <w:r w:rsidRPr="00041917">
              <w:rPr>
                <w:rFonts w:ascii="Tahoma" w:hAnsi="Tahoma" w:cs="Tahoma"/>
                <w:lang w:val="en-US"/>
              </w:rPr>
              <w:t>FGL</w:t>
            </w:r>
            <w:r w:rsidRPr="00041917">
              <w:rPr>
                <w:rFonts w:ascii="Tahoma" w:hAnsi="Tahoma" w:cs="Tahoma"/>
              </w:rPr>
              <w:t xml:space="preserve"> </w:t>
            </w:r>
            <w:r w:rsidRPr="00041917">
              <w:rPr>
                <w:rFonts w:ascii="Tahoma" w:hAnsi="Tahoma" w:cs="Tahoma"/>
                <w:lang w:val="en-US"/>
              </w:rPr>
              <w:t>Energy</w:t>
            </w:r>
            <w:r w:rsidRPr="00041917">
              <w:rPr>
                <w:rFonts w:ascii="Tahoma" w:hAnsi="Tahoma" w:cs="Tahoma"/>
              </w:rPr>
              <w:t xml:space="preserve">», 2011. – 48 с. </w:t>
            </w:r>
            <w:r w:rsidRPr="005C62B7">
              <w:rPr>
                <w:rFonts w:ascii="Tahoma" w:hAnsi="Tahoma" w:cs="Tahoma"/>
              </w:rPr>
              <w:t>http://eeas.europa.eu/delegations/ukraine/documents/ virtual_library/how_eu_works_2011_uk.pdf</w:t>
            </w:r>
            <w:r w:rsidRPr="00041917">
              <w:rPr>
                <w:rFonts w:ascii="Tahoma" w:hAnsi="Tahoma" w:cs="Tahoma"/>
              </w:rPr>
              <w:t xml:space="preserve"> </w:t>
            </w:r>
          </w:p>
        </w:tc>
      </w:tr>
    </w:tbl>
    <w:p w:rsidR="0022648F" w:rsidRPr="000F7925" w:rsidRDefault="0022648F">
      <w:pPr>
        <w:rPr>
          <w:lang w:val="uk-UA"/>
        </w:rPr>
      </w:pPr>
      <w:bookmarkStart w:id="0" w:name="_GoBack"/>
      <w:bookmarkEnd w:id="0"/>
    </w:p>
    <w:sectPr w:rsidR="0022648F" w:rsidRPr="000F7925" w:rsidSect="00906A6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229" w:rsidRDefault="00361229" w:rsidP="00A00FEC">
      <w:r>
        <w:separator/>
      </w:r>
    </w:p>
  </w:endnote>
  <w:endnote w:type="continuationSeparator" w:id="0">
    <w:p w:rsidR="00361229" w:rsidRDefault="00361229" w:rsidP="00A00F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B4" w:rsidRDefault="00A01FB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EC" w:rsidRPr="00103238" w:rsidRDefault="00A00FEC" w:rsidP="00A00FEC">
    <w:pPr>
      <w:autoSpaceDE w:val="0"/>
      <w:autoSpaceDN w:val="0"/>
      <w:adjustRightInd w:val="0"/>
      <w:jc w:val="center"/>
      <w:rPr>
        <w:rFonts w:ascii="Arial" w:hAnsi="Arial" w:cs="Arial"/>
        <w:i/>
        <w:sz w:val="16"/>
        <w:szCs w:val="16"/>
        <w:lang w:val="en-US"/>
      </w:rPr>
    </w:pPr>
    <w:r>
      <w:rPr>
        <w:rFonts w:ascii="Arial" w:hAnsi="Arial" w:cs="Arial"/>
        <w:i/>
        <w:sz w:val="16"/>
        <w:szCs w:val="16"/>
        <w:lang w:val="en-US"/>
      </w:rPr>
      <w:t xml:space="preserve">The </w:t>
    </w:r>
    <w:r w:rsidRPr="00103238">
      <w:rPr>
        <w:rFonts w:ascii="Arial" w:hAnsi="Arial" w:cs="Arial"/>
        <w:i/>
        <w:sz w:val="16"/>
        <w:szCs w:val="16"/>
        <w:lang w:val="en-US"/>
      </w:rPr>
      <w:t xml:space="preserve">European Commission support for the production of </w:t>
    </w:r>
    <w:r>
      <w:rPr>
        <w:rFonts w:ascii="Arial" w:hAnsi="Arial" w:cs="Arial"/>
        <w:i/>
        <w:sz w:val="16"/>
        <w:szCs w:val="16"/>
        <w:lang w:val="en-US"/>
      </w:rPr>
      <w:t xml:space="preserve">this </w:t>
    </w:r>
    <w:r w:rsidRPr="00103238">
      <w:rPr>
        <w:rFonts w:ascii="Arial" w:hAnsi="Arial" w:cs="Arial"/>
        <w:i/>
        <w:sz w:val="16"/>
        <w:szCs w:val="16"/>
        <w:lang w:val="en-US"/>
      </w:rPr>
      <w:t>materials does not cons</w:t>
    </w:r>
    <w:r>
      <w:rPr>
        <w:rFonts w:ascii="Arial" w:hAnsi="Arial" w:cs="Arial"/>
        <w:i/>
        <w:sz w:val="16"/>
        <w:szCs w:val="16"/>
        <w:lang w:val="en-US"/>
      </w:rPr>
      <w:t>titut</w:t>
    </w:r>
    <w:r w:rsidRPr="00103238">
      <w:rPr>
        <w:rFonts w:ascii="Arial" w:hAnsi="Arial" w:cs="Arial"/>
        <w:i/>
        <w:sz w:val="16"/>
        <w:szCs w:val="16"/>
        <w:lang w:val="en-US"/>
      </w:rPr>
      <w:t xml:space="preserve">e </w:t>
    </w:r>
    <w:r>
      <w:rPr>
        <w:rFonts w:ascii="Arial" w:hAnsi="Arial" w:cs="Arial"/>
        <w:i/>
        <w:sz w:val="16"/>
        <w:szCs w:val="16"/>
        <w:lang w:val="en-US"/>
      </w:rPr>
      <w:t xml:space="preserve">an </w:t>
    </w:r>
    <w:r w:rsidRPr="00103238">
      <w:rPr>
        <w:rFonts w:ascii="Arial" w:hAnsi="Arial" w:cs="Arial"/>
        <w:i/>
        <w:sz w:val="16"/>
        <w:szCs w:val="16"/>
        <w:lang w:val="en-US"/>
      </w:rPr>
      <w:t>endorsement of the contents which reflects the views only of the authors, and the Commission cannot be held responsible for any use which may be made of the information contained therein</w:t>
    </w:r>
    <w:r>
      <w:rPr>
        <w:rFonts w:ascii="Arial" w:hAnsi="Arial" w:cs="Arial"/>
        <w:i/>
        <w:sz w:val="16"/>
        <w:szCs w:val="16"/>
        <w:lang w:val="en-US"/>
      </w:rPr>
      <w:t>.</w:t>
    </w:r>
  </w:p>
  <w:p w:rsidR="00A00FEC" w:rsidRPr="00A00FEC" w:rsidRDefault="00A00FEC">
    <w:pPr>
      <w:pStyle w:val="aa"/>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B4" w:rsidRDefault="00A01FB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229" w:rsidRDefault="00361229" w:rsidP="00A00FEC">
      <w:r>
        <w:separator/>
      </w:r>
    </w:p>
  </w:footnote>
  <w:footnote w:type="continuationSeparator" w:id="0">
    <w:p w:rsidR="00361229" w:rsidRDefault="00361229" w:rsidP="00A00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B4" w:rsidRDefault="00A01FB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EC" w:rsidRPr="00A00FEC" w:rsidRDefault="00A00FEC">
    <w:pPr>
      <w:pStyle w:val="a8"/>
      <w:rPr>
        <w:b/>
      </w:rPr>
    </w:pPr>
    <w:r w:rsidRPr="00A00FEC">
      <w:rPr>
        <w:b/>
      </w:rPr>
      <w:drawing>
        <wp:anchor distT="0" distB="0" distL="114300" distR="114300" simplePos="0" relativeHeight="251661312" behindDoc="1" locked="0" layoutInCell="1" allowOverlap="1">
          <wp:simplePos x="0" y="0"/>
          <wp:positionH relativeFrom="column">
            <wp:posOffset>5044440</wp:posOffset>
          </wp:positionH>
          <wp:positionV relativeFrom="paragraph">
            <wp:posOffset>-287655</wp:posOffset>
          </wp:positionV>
          <wp:extent cx="704850" cy="933450"/>
          <wp:effectExtent l="19050" t="0" r="0" b="0"/>
          <wp:wrapTight wrapText="bothSides">
            <wp:wrapPolygon edited="0">
              <wp:start x="-584" y="0"/>
              <wp:lineTo x="-584" y="21159"/>
              <wp:lineTo x="21600" y="21159"/>
              <wp:lineTo x="21600" y="0"/>
              <wp:lineTo x="-584" y="0"/>
            </wp:wrapPolygon>
          </wp:wrapTight>
          <wp:docPr id="5" name="Рисунок 2" descr="e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nu"/>
                  <pic:cNvPicPr>
                    <a:picLocks noChangeAspect="1" noChangeArrowheads="1"/>
                  </pic:cNvPicPr>
                </pic:nvPicPr>
                <pic:blipFill>
                  <a:blip r:embed="rId1"/>
                  <a:srcRect/>
                  <a:stretch>
                    <a:fillRect/>
                  </a:stretch>
                </pic:blipFill>
                <pic:spPr bwMode="auto">
                  <a:xfrm>
                    <a:off x="0" y="0"/>
                    <a:ext cx="704850" cy="933450"/>
                  </a:xfrm>
                  <a:prstGeom prst="rect">
                    <a:avLst/>
                  </a:prstGeom>
                  <a:noFill/>
                  <a:ln w="9525">
                    <a:noFill/>
                    <a:miter lim="800000"/>
                    <a:headEnd/>
                    <a:tailEnd/>
                  </a:ln>
                </pic:spPr>
              </pic:pic>
            </a:graphicData>
          </a:graphic>
        </wp:anchor>
      </w:drawing>
    </w:r>
    <w:r w:rsidRPr="00A00FEC">
      <w:rPr>
        <w:b/>
      </w:rPr>
      <w:drawing>
        <wp:anchor distT="0" distB="0" distL="114300" distR="114300" simplePos="0" relativeHeight="251659264" behindDoc="1" locked="0" layoutInCell="1" allowOverlap="1">
          <wp:simplePos x="0" y="0"/>
          <wp:positionH relativeFrom="column">
            <wp:posOffset>-22860</wp:posOffset>
          </wp:positionH>
          <wp:positionV relativeFrom="paragraph">
            <wp:posOffset>-30480</wp:posOffset>
          </wp:positionV>
          <wp:extent cx="2343150" cy="533400"/>
          <wp:effectExtent l="19050" t="0" r="0" b="0"/>
          <wp:wrapTight wrapText="bothSides">
            <wp:wrapPolygon edited="0">
              <wp:start x="-176" y="0"/>
              <wp:lineTo x="-176" y="20829"/>
              <wp:lineTo x="21600" y="20829"/>
              <wp:lineTo x="21600" y="0"/>
              <wp:lineTo x="-176" y="0"/>
            </wp:wrapPolygon>
          </wp:wrapT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343150"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B4" w:rsidRDefault="00A01FB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011FB"/>
    <w:multiLevelType w:val="hybridMultilevel"/>
    <w:tmpl w:val="862EF2C4"/>
    <w:lvl w:ilvl="0" w:tplc="627EF2E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1B0833"/>
    <w:multiLevelType w:val="hybridMultilevel"/>
    <w:tmpl w:val="AB94F87E"/>
    <w:lvl w:ilvl="0" w:tplc="5360EB0C">
      <w:start w:val="1"/>
      <w:numFmt w:val="decimal"/>
      <w:lvlText w:val="%1."/>
      <w:lvlJc w:val="left"/>
      <w:pPr>
        <w:tabs>
          <w:tab w:val="num" w:pos="1125"/>
        </w:tabs>
        <w:ind w:left="1125" w:hanging="405"/>
      </w:pPr>
      <w:rPr>
        <w:rFonts w:ascii="Tahoma" w:hAnsi="Tahoma" w:cs="Times New Roman" w:hint="default"/>
        <w:b w:val="0"/>
        <w:i w:val="0"/>
        <w:color w:val="auto"/>
        <w:sz w:val="20"/>
        <w:szCs w:val="24"/>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1"/>
    <w:footnote w:id="0"/>
  </w:footnotePr>
  <w:endnotePr>
    <w:endnote w:id="-1"/>
    <w:endnote w:id="0"/>
  </w:endnotePr>
  <w:compat/>
  <w:rsids>
    <w:rsidRoot w:val="000F7925"/>
    <w:rsid w:val="000F7925"/>
    <w:rsid w:val="0022648F"/>
    <w:rsid w:val="00361229"/>
    <w:rsid w:val="00906A6B"/>
    <w:rsid w:val="00A00FEC"/>
    <w:rsid w:val="00A01FB4"/>
    <w:rsid w:val="00E10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925"/>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7925"/>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0F7925"/>
    <w:rPr>
      <w:rFonts w:cs="Times New Roman"/>
      <w:color w:val="0000FF"/>
      <w:u w:val="single"/>
    </w:rPr>
  </w:style>
  <w:style w:type="paragraph" w:styleId="a5">
    <w:name w:val="List Paragraph"/>
    <w:basedOn w:val="a"/>
    <w:uiPriority w:val="34"/>
    <w:qFormat/>
    <w:rsid w:val="000F7925"/>
    <w:pPr>
      <w:ind w:left="720"/>
    </w:pPr>
  </w:style>
  <w:style w:type="paragraph" w:styleId="a6">
    <w:name w:val="endnote text"/>
    <w:basedOn w:val="a"/>
    <w:link w:val="a7"/>
    <w:semiHidden/>
    <w:rsid w:val="000F7925"/>
    <w:rPr>
      <w:sz w:val="20"/>
      <w:szCs w:val="20"/>
      <w:lang w:val="uk-UA" w:eastAsia="uk-UA"/>
    </w:rPr>
  </w:style>
  <w:style w:type="character" w:customStyle="1" w:styleId="a7">
    <w:name w:val="Текст концевой сноски Знак"/>
    <w:basedOn w:val="a0"/>
    <w:link w:val="a6"/>
    <w:semiHidden/>
    <w:rsid w:val="000F7925"/>
    <w:rPr>
      <w:rFonts w:ascii="Times New Roman" w:eastAsia="Times New Roman" w:hAnsi="Times New Roman" w:cs="Times New Roman"/>
      <w:sz w:val="20"/>
      <w:szCs w:val="20"/>
      <w:lang w:val="uk-UA" w:eastAsia="uk-UA"/>
    </w:rPr>
  </w:style>
  <w:style w:type="character" w:customStyle="1" w:styleId="a-size-large1">
    <w:name w:val="a-size-large1"/>
    <w:rsid w:val="000F7925"/>
    <w:rPr>
      <w:rFonts w:ascii="Arial" w:hAnsi="Arial" w:cs="Arial" w:hint="default"/>
    </w:rPr>
  </w:style>
  <w:style w:type="character" w:customStyle="1" w:styleId="a-declarative">
    <w:name w:val="a-declarative"/>
    <w:rsid w:val="000F7925"/>
  </w:style>
  <w:style w:type="character" w:styleId="HTML">
    <w:name w:val="HTML Typewriter"/>
    <w:rsid w:val="000F7925"/>
    <w:rPr>
      <w:rFonts w:ascii="Arial Unicode MS" w:eastAsia="Courier New" w:hAnsi="Arial Unicode MS" w:cs="Courier New"/>
      <w:sz w:val="20"/>
      <w:szCs w:val="20"/>
    </w:rPr>
  </w:style>
  <w:style w:type="paragraph" w:styleId="a8">
    <w:name w:val="header"/>
    <w:basedOn w:val="a"/>
    <w:link w:val="a9"/>
    <w:uiPriority w:val="99"/>
    <w:semiHidden/>
    <w:unhideWhenUsed/>
    <w:rsid w:val="00A00FEC"/>
    <w:pPr>
      <w:tabs>
        <w:tab w:val="center" w:pos="4677"/>
        <w:tab w:val="right" w:pos="9355"/>
      </w:tabs>
    </w:pPr>
  </w:style>
  <w:style w:type="character" w:customStyle="1" w:styleId="a9">
    <w:name w:val="Верхний колонтитул Знак"/>
    <w:basedOn w:val="a0"/>
    <w:link w:val="a8"/>
    <w:uiPriority w:val="99"/>
    <w:semiHidden/>
    <w:rsid w:val="00A00FEC"/>
    <w:rPr>
      <w:rFonts w:ascii="Times New Roman" w:eastAsia="Times New Roman" w:hAnsi="Times New Roman" w:cs="Times New Roman"/>
      <w:sz w:val="24"/>
      <w:szCs w:val="24"/>
      <w:lang w:val="en-GB" w:eastAsia="en-GB"/>
    </w:rPr>
  </w:style>
  <w:style w:type="paragraph" w:styleId="aa">
    <w:name w:val="footer"/>
    <w:basedOn w:val="a"/>
    <w:link w:val="ab"/>
    <w:uiPriority w:val="99"/>
    <w:semiHidden/>
    <w:unhideWhenUsed/>
    <w:rsid w:val="00A00FEC"/>
    <w:pPr>
      <w:tabs>
        <w:tab w:val="center" w:pos="4677"/>
        <w:tab w:val="right" w:pos="9355"/>
      </w:tabs>
    </w:pPr>
  </w:style>
  <w:style w:type="character" w:customStyle="1" w:styleId="ab">
    <w:name w:val="Нижний колонтитул Знак"/>
    <w:basedOn w:val="a0"/>
    <w:link w:val="aa"/>
    <w:uiPriority w:val="99"/>
    <w:semiHidden/>
    <w:rsid w:val="00A00FEC"/>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925"/>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7925"/>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0F7925"/>
    <w:rPr>
      <w:rFonts w:cs="Times New Roman"/>
      <w:color w:val="0000FF"/>
      <w:u w:val="single"/>
    </w:rPr>
  </w:style>
  <w:style w:type="paragraph" w:styleId="a5">
    <w:name w:val="List Paragraph"/>
    <w:basedOn w:val="a"/>
    <w:uiPriority w:val="34"/>
    <w:qFormat/>
    <w:rsid w:val="000F7925"/>
    <w:pPr>
      <w:ind w:left="720"/>
    </w:pPr>
  </w:style>
  <w:style w:type="paragraph" w:styleId="a6">
    <w:name w:val="endnote text"/>
    <w:basedOn w:val="a"/>
    <w:link w:val="a7"/>
    <w:semiHidden/>
    <w:rsid w:val="000F7925"/>
    <w:rPr>
      <w:sz w:val="20"/>
      <w:szCs w:val="20"/>
      <w:lang w:val="uk-UA" w:eastAsia="uk-UA"/>
    </w:rPr>
  </w:style>
  <w:style w:type="character" w:customStyle="1" w:styleId="a7">
    <w:name w:val="Текст концевой сноски Знак"/>
    <w:basedOn w:val="a0"/>
    <w:link w:val="a6"/>
    <w:semiHidden/>
    <w:rsid w:val="000F7925"/>
    <w:rPr>
      <w:rFonts w:ascii="Times New Roman" w:eastAsia="Times New Roman" w:hAnsi="Times New Roman" w:cs="Times New Roman"/>
      <w:sz w:val="20"/>
      <w:szCs w:val="20"/>
      <w:lang w:val="uk-UA" w:eastAsia="uk-UA"/>
    </w:rPr>
  </w:style>
  <w:style w:type="character" w:customStyle="1" w:styleId="a-size-large1">
    <w:name w:val="a-size-large1"/>
    <w:rsid w:val="000F7925"/>
    <w:rPr>
      <w:rFonts w:ascii="Arial" w:hAnsi="Arial" w:cs="Arial" w:hint="default"/>
    </w:rPr>
  </w:style>
  <w:style w:type="character" w:customStyle="1" w:styleId="a-declarative">
    <w:name w:val="a-declarative"/>
    <w:rsid w:val="000F7925"/>
  </w:style>
  <w:style w:type="character" w:styleId="HTML">
    <w:name w:val="HTML Typewriter"/>
    <w:rsid w:val="000F7925"/>
    <w:rPr>
      <w:rFonts w:ascii="Arial Unicode MS" w:eastAsia="Courier New" w:hAnsi="Arial Unicode MS"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ndrij.Boyar@eenu.edu.ua"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1225</Words>
  <Characters>6988</Characters>
  <Application>Microsoft Office Word</Application>
  <DocSecurity>0</DocSecurity>
  <Lines>58</Lines>
  <Paragraphs>16</Paragraphs>
  <ScaleCrop>false</ScaleCrop>
  <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Marta Sydoruk</cp:lastModifiedBy>
  <cp:revision>3</cp:revision>
  <dcterms:created xsi:type="dcterms:W3CDTF">2020-01-22T21:03:00Z</dcterms:created>
  <dcterms:modified xsi:type="dcterms:W3CDTF">2020-01-24T12:14:00Z</dcterms:modified>
</cp:coreProperties>
</file>