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B8" w:rsidRDefault="006E3DB8">
      <w:pPr>
        <w:rPr>
          <w:lang w:val="ru-RU"/>
        </w:rPr>
      </w:pPr>
    </w:p>
    <w:p w:rsidR="006E3DB8" w:rsidRDefault="006E3DB8">
      <w:pPr>
        <w:rPr>
          <w:lang w:val="ru-RU"/>
        </w:rPr>
      </w:pPr>
    </w:p>
    <w:p w:rsidR="006E3DB8" w:rsidRPr="006E3DB8" w:rsidRDefault="006E3DB8">
      <w:pPr>
        <w:rPr>
          <w:lang w:val="ru-RU"/>
        </w:rPr>
      </w:pPr>
    </w:p>
    <w:tbl>
      <w:tblPr>
        <w:tblStyle w:val="a4"/>
        <w:tblW w:w="0" w:type="auto"/>
        <w:tblInd w:w="108" w:type="dxa"/>
        <w:tblLook w:val="04A0"/>
      </w:tblPr>
      <w:tblGrid>
        <w:gridCol w:w="1820"/>
        <w:gridCol w:w="984"/>
        <w:gridCol w:w="6659"/>
      </w:tblGrid>
      <w:tr w:rsidR="00763865" w:rsidTr="006E3DB8">
        <w:tc>
          <w:tcPr>
            <w:tcW w:w="9463" w:type="dxa"/>
            <w:gridSpan w:val="3"/>
          </w:tcPr>
          <w:p w:rsidR="00763865" w:rsidRPr="0064741B" w:rsidRDefault="00763865" w:rsidP="00D12F38">
            <w:pPr>
              <w:jc w:val="center"/>
              <w:rPr>
                <w:rFonts w:ascii="Tahoma" w:hAnsi="Tahoma" w:cs="Tahoma"/>
                <w:b/>
                <w:sz w:val="20"/>
                <w:szCs w:val="20"/>
                <w:lang w:val="en-US"/>
              </w:rPr>
            </w:pPr>
            <w:r w:rsidRPr="0064741B">
              <w:rPr>
                <w:rFonts w:ascii="Tahoma" w:hAnsi="Tahoma" w:cs="Tahoma"/>
                <w:b/>
                <w:sz w:val="20"/>
                <w:szCs w:val="20"/>
                <w:lang w:val="en-US"/>
              </w:rPr>
              <w:t>PROGRAM</w:t>
            </w:r>
          </w:p>
          <w:p w:rsidR="00763865" w:rsidRPr="0064741B" w:rsidRDefault="00763865" w:rsidP="00D12F38">
            <w:pPr>
              <w:jc w:val="center"/>
              <w:rPr>
                <w:rFonts w:ascii="Tahoma" w:hAnsi="Tahoma" w:cs="Tahoma"/>
                <w:b/>
                <w:sz w:val="20"/>
                <w:szCs w:val="20"/>
                <w:lang w:val="en-US"/>
              </w:rPr>
            </w:pPr>
            <w:r w:rsidRPr="0064741B">
              <w:rPr>
                <w:rFonts w:ascii="Tahoma" w:hAnsi="Tahoma" w:cs="Tahoma"/>
                <w:b/>
                <w:sz w:val="20"/>
                <w:szCs w:val="20"/>
                <w:lang w:val="en-US"/>
              </w:rPr>
              <w:t xml:space="preserve">for training </w:t>
            </w:r>
            <w:r>
              <w:rPr>
                <w:rFonts w:ascii="Tahoma" w:hAnsi="Tahoma" w:cs="Tahoma"/>
                <w:b/>
                <w:sz w:val="20"/>
                <w:szCs w:val="20"/>
                <w:lang w:val="en-US"/>
              </w:rPr>
              <w:t>school teachers</w:t>
            </w:r>
          </w:p>
          <w:p w:rsidR="00763865" w:rsidRPr="0064741B" w:rsidRDefault="00763865" w:rsidP="00D12F38">
            <w:pPr>
              <w:jc w:val="center"/>
              <w:rPr>
                <w:rFonts w:ascii="Tahoma" w:hAnsi="Tahoma" w:cs="Tahoma"/>
                <w:b/>
                <w:sz w:val="20"/>
                <w:szCs w:val="20"/>
                <w:lang w:val="en-US"/>
              </w:rPr>
            </w:pPr>
            <w:r w:rsidRPr="0064741B">
              <w:rPr>
                <w:rFonts w:ascii="Tahoma" w:hAnsi="Tahoma" w:cs="Tahoma"/>
                <w:b/>
                <w:sz w:val="20"/>
                <w:szCs w:val="20"/>
                <w:lang w:val="en-US"/>
              </w:rPr>
              <w:t>“</w:t>
            </w:r>
            <w:r w:rsidRPr="009A7903">
              <w:rPr>
                <w:rFonts w:ascii="Tahoma" w:hAnsi="Tahoma" w:cs="Tahoma"/>
                <w:b/>
                <w:sz w:val="20"/>
                <w:szCs w:val="20"/>
              </w:rPr>
              <w:t xml:space="preserve">European Integration of Ukraine: </w:t>
            </w:r>
            <w:r>
              <w:rPr>
                <w:rFonts w:ascii="Tahoma" w:hAnsi="Tahoma" w:cs="Tahoma"/>
                <w:b/>
                <w:sz w:val="20"/>
                <w:szCs w:val="20"/>
              </w:rPr>
              <w:t xml:space="preserve">a </w:t>
            </w:r>
            <w:r w:rsidRPr="009A7903">
              <w:rPr>
                <w:rFonts w:ascii="Tahoma" w:hAnsi="Tahoma" w:cs="Tahoma"/>
                <w:b/>
                <w:sz w:val="20"/>
                <w:szCs w:val="20"/>
              </w:rPr>
              <w:t xml:space="preserve">Competent </w:t>
            </w:r>
            <w:r>
              <w:rPr>
                <w:rFonts w:ascii="Tahoma" w:hAnsi="Tahoma" w:cs="Tahoma"/>
                <w:b/>
                <w:sz w:val="20"/>
                <w:szCs w:val="20"/>
              </w:rPr>
              <w:t>School Teacher</w:t>
            </w:r>
            <w:r w:rsidRPr="0064741B">
              <w:rPr>
                <w:rFonts w:ascii="Tahoma" w:hAnsi="Tahoma" w:cs="Tahoma"/>
                <w:b/>
                <w:sz w:val="20"/>
                <w:szCs w:val="20"/>
                <w:lang w:val="en-US"/>
              </w:rPr>
              <w:t>”</w:t>
            </w:r>
          </w:p>
          <w:p w:rsidR="00763865" w:rsidRPr="000720CD" w:rsidRDefault="00763865" w:rsidP="00D12F38">
            <w:pPr>
              <w:jc w:val="center"/>
              <w:rPr>
                <w:rFonts w:ascii="Tahoma" w:hAnsi="Tahoma" w:cs="Tahoma"/>
                <w:sz w:val="20"/>
                <w:szCs w:val="20"/>
                <w:lang w:val="en-US"/>
              </w:rPr>
            </w:pPr>
            <w:r w:rsidRPr="000443C9">
              <w:rPr>
                <w:rFonts w:ascii="Tahoma" w:hAnsi="Tahoma" w:cs="Tahoma"/>
                <w:sz w:val="20"/>
                <w:szCs w:val="20"/>
                <w:lang w:val="en-US"/>
              </w:rPr>
              <w:t>(draft)</w:t>
            </w:r>
          </w:p>
        </w:tc>
      </w:tr>
      <w:tr w:rsidR="00763865" w:rsidTr="006E3DB8">
        <w:tc>
          <w:tcPr>
            <w:tcW w:w="1820" w:type="dxa"/>
          </w:tcPr>
          <w:p w:rsidR="00763865" w:rsidRDefault="00763865" w:rsidP="00D12F38">
            <w:pPr>
              <w:rPr>
                <w:rFonts w:ascii="Tahoma" w:hAnsi="Tahoma" w:cs="Tahoma"/>
                <w:b/>
                <w:sz w:val="20"/>
                <w:szCs w:val="20"/>
                <w:lang w:val="en-US"/>
              </w:rPr>
            </w:pPr>
            <w:r>
              <w:rPr>
                <w:rFonts w:ascii="Tahoma" w:hAnsi="Tahoma" w:cs="Tahoma"/>
                <w:b/>
                <w:bCs/>
                <w:sz w:val="20"/>
                <w:szCs w:val="20"/>
                <w:lang w:val="en-US"/>
              </w:rPr>
              <w:t>Trainers</w:t>
            </w:r>
            <w:r w:rsidRPr="00422601">
              <w:rPr>
                <w:rFonts w:ascii="Tahoma" w:hAnsi="Tahoma" w:cs="Tahoma"/>
                <w:b/>
                <w:bCs/>
                <w:sz w:val="20"/>
                <w:szCs w:val="20"/>
                <w:lang w:val="en-US"/>
              </w:rPr>
              <w:t>:</w:t>
            </w:r>
          </w:p>
        </w:tc>
        <w:tc>
          <w:tcPr>
            <w:tcW w:w="7643" w:type="dxa"/>
            <w:gridSpan w:val="2"/>
          </w:tcPr>
          <w:p w:rsidR="00763865" w:rsidRPr="000720CD" w:rsidRDefault="00763865" w:rsidP="00763865">
            <w:pPr>
              <w:rPr>
                <w:rFonts w:ascii="Tahoma" w:hAnsi="Tahoma" w:cs="Tahoma"/>
                <w:sz w:val="20"/>
                <w:szCs w:val="20"/>
                <w:lang w:val="en-US"/>
              </w:rPr>
            </w:pPr>
            <w:r w:rsidRPr="00422601">
              <w:rPr>
                <w:rFonts w:ascii="Tahoma" w:hAnsi="Tahoma" w:cs="Tahoma"/>
                <w:sz w:val="20"/>
                <w:szCs w:val="20"/>
                <w:lang w:val="en-US"/>
              </w:rPr>
              <w:t>Andrii</w:t>
            </w:r>
            <w:r>
              <w:rPr>
                <w:rFonts w:ascii="Tahoma" w:hAnsi="Tahoma" w:cs="Tahoma"/>
                <w:sz w:val="20"/>
                <w:szCs w:val="20"/>
                <w:lang w:val="en-US"/>
              </w:rPr>
              <w:t xml:space="preserve"> </w:t>
            </w:r>
            <w:r w:rsidRPr="00422601">
              <w:rPr>
                <w:rFonts w:ascii="Tahoma" w:hAnsi="Tahoma" w:cs="Tahoma"/>
                <w:sz w:val="20"/>
                <w:szCs w:val="20"/>
                <w:lang w:val="en-US"/>
              </w:rPr>
              <w:t xml:space="preserve">Boiar, </w:t>
            </w:r>
            <w:r>
              <w:rPr>
                <w:rFonts w:ascii="Tahoma" w:hAnsi="Tahoma" w:cs="Tahoma"/>
                <w:sz w:val="20"/>
                <w:szCs w:val="20"/>
                <w:lang w:val="en-US"/>
              </w:rPr>
              <w:t xml:space="preserve">Viktor Chuzhikov, </w:t>
            </w:r>
            <w:bookmarkStart w:id="0" w:name="_GoBack"/>
            <w:bookmarkEnd w:id="0"/>
            <w:r w:rsidRPr="00422601">
              <w:rPr>
                <w:rFonts w:ascii="Tahoma" w:hAnsi="Tahoma" w:cs="Tahoma"/>
                <w:sz w:val="20"/>
                <w:szCs w:val="20"/>
                <w:lang w:val="en-US"/>
              </w:rPr>
              <w:t>Sergii</w:t>
            </w:r>
            <w:r>
              <w:rPr>
                <w:rFonts w:ascii="Tahoma" w:hAnsi="Tahoma" w:cs="Tahoma"/>
                <w:sz w:val="20"/>
                <w:szCs w:val="20"/>
                <w:lang w:val="en-US"/>
              </w:rPr>
              <w:t xml:space="preserve"> </w:t>
            </w:r>
            <w:r w:rsidRPr="00422601">
              <w:rPr>
                <w:rFonts w:ascii="Tahoma" w:hAnsi="Tahoma" w:cs="Tahoma"/>
                <w:sz w:val="20"/>
                <w:szCs w:val="20"/>
                <w:lang w:val="en-US"/>
              </w:rPr>
              <w:t>Fedoniuk, Nataliya</w:t>
            </w:r>
            <w:r>
              <w:rPr>
                <w:rFonts w:ascii="Tahoma" w:hAnsi="Tahoma" w:cs="Tahoma"/>
                <w:sz w:val="20"/>
                <w:szCs w:val="20"/>
                <w:lang w:val="en-US"/>
              </w:rPr>
              <w:t xml:space="preserve"> </w:t>
            </w:r>
            <w:r w:rsidRPr="00422601">
              <w:rPr>
                <w:rFonts w:ascii="Tahoma" w:hAnsi="Tahoma" w:cs="Tahoma"/>
                <w:sz w:val="20"/>
                <w:szCs w:val="20"/>
                <w:lang w:val="en-US"/>
              </w:rPr>
              <w:t xml:space="preserve">Romaniuk, </w:t>
            </w:r>
            <w:r>
              <w:rPr>
                <w:rFonts w:ascii="Tahoma" w:hAnsi="Tahoma" w:cs="Tahoma"/>
                <w:sz w:val="20"/>
                <w:szCs w:val="20"/>
                <w:lang w:val="en-US"/>
              </w:rPr>
              <w:t>Nataliya KarpchukValentyna Vitiuk</w:t>
            </w:r>
          </w:p>
        </w:tc>
      </w:tr>
      <w:tr w:rsidR="00763865" w:rsidTr="006E3DB8">
        <w:tc>
          <w:tcPr>
            <w:tcW w:w="1820" w:type="dxa"/>
          </w:tcPr>
          <w:p w:rsidR="00763865" w:rsidRDefault="00763865" w:rsidP="00D12F38">
            <w:pPr>
              <w:rPr>
                <w:rFonts w:ascii="Tahoma" w:hAnsi="Tahoma" w:cs="Tahoma"/>
                <w:b/>
                <w:sz w:val="20"/>
                <w:szCs w:val="20"/>
                <w:lang w:val="en-US"/>
              </w:rPr>
            </w:pPr>
            <w:r w:rsidRPr="00422601">
              <w:rPr>
                <w:rFonts w:ascii="Tahoma" w:hAnsi="Tahoma" w:cs="Tahoma"/>
                <w:b/>
                <w:bCs/>
                <w:sz w:val="20"/>
                <w:szCs w:val="20"/>
                <w:lang w:val="en-US"/>
              </w:rPr>
              <w:t>Format:</w:t>
            </w:r>
          </w:p>
        </w:tc>
        <w:tc>
          <w:tcPr>
            <w:tcW w:w="7643" w:type="dxa"/>
            <w:gridSpan w:val="2"/>
          </w:tcPr>
          <w:p w:rsidR="00763865" w:rsidRPr="000720CD" w:rsidRDefault="00763865" w:rsidP="00D12F38">
            <w:pPr>
              <w:rPr>
                <w:rFonts w:ascii="Tahoma" w:hAnsi="Tahoma" w:cs="Tahoma"/>
                <w:sz w:val="20"/>
                <w:szCs w:val="20"/>
                <w:lang w:val="en-US"/>
              </w:rPr>
            </w:pPr>
            <w:r>
              <w:rPr>
                <w:rFonts w:ascii="Tahoma" w:hAnsi="Tahoma" w:cs="Tahoma"/>
                <w:sz w:val="20"/>
                <w:szCs w:val="20"/>
                <w:lang w:val="en-US"/>
              </w:rPr>
              <w:t xml:space="preserve">six eight-hour </w:t>
            </w:r>
            <w:r w:rsidRPr="00422601">
              <w:rPr>
                <w:rFonts w:ascii="Tahoma" w:hAnsi="Tahoma" w:cs="Tahoma"/>
                <w:sz w:val="20"/>
                <w:szCs w:val="20"/>
                <w:lang w:val="en-US"/>
              </w:rPr>
              <w:t>sessions</w:t>
            </w:r>
            <w:r>
              <w:rPr>
                <w:rFonts w:ascii="Tahoma" w:hAnsi="Tahoma" w:cs="Tahoma"/>
                <w:sz w:val="20"/>
                <w:szCs w:val="20"/>
                <w:lang w:val="en-US"/>
              </w:rPr>
              <w:t xml:space="preserve"> (6 days)</w:t>
            </w:r>
          </w:p>
        </w:tc>
      </w:tr>
      <w:tr w:rsidR="00763865" w:rsidTr="006E3DB8">
        <w:tc>
          <w:tcPr>
            <w:tcW w:w="1820" w:type="dxa"/>
          </w:tcPr>
          <w:p w:rsidR="00763865" w:rsidRDefault="00763865" w:rsidP="00D12F38">
            <w:pPr>
              <w:rPr>
                <w:rFonts w:ascii="Tahoma" w:hAnsi="Tahoma" w:cs="Tahoma"/>
                <w:b/>
                <w:sz w:val="20"/>
                <w:szCs w:val="20"/>
                <w:lang w:val="en-US"/>
              </w:rPr>
            </w:pPr>
            <w:r w:rsidRPr="00422601">
              <w:rPr>
                <w:rFonts w:ascii="Tahoma" w:hAnsi="Tahoma" w:cs="Tahoma"/>
                <w:b/>
                <w:bCs/>
                <w:sz w:val="20"/>
                <w:szCs w:val="20"/>
                <w:lang w:val="en-US"/>
              </w:rPr>
              <w:t>Target audience:</w:t>
            </w:r>
          </w:p>
        </w:tc>
        <w:tc>
          <w:tcPr>
            <w:tcW w:w="7643" w:type="dxa"/>
            <w:gridSpan w:val="2"/>
          </w:tcPr>
          <w:p w:rsidR="00763865" w:rsidRPr="000720CD" w:rsidRDefault="00763865" w:rsidP="00D12F38">
            <w:pPr>
              <w:rPr>
                <w:rFonts w:ascii="Tahoma" w:hAnsi="Tahoma" w:cs="Tahoma"/>
                <w:sz w:val="20"/>
                <w:szCs w:val="20"/>
                <w:lang w:val="en-US"/>
              </w:rPr>
            </w:pPr>
            <w:r>
              <w:rPr>
                <w:rFonts w:ascii="Tahoma" w:hAnsi="Tahoma" w:cs="Tahoma"/>
                <w:sz w:val="20"/>
                <w:szCs w:val="20"/>
                <w:lang w:val="en-US"/>
              </w:rPr>
              <w:t>33</w:t>
            </w:r>
            <w:r w:rsidRPr="00422601">
              <w:rPr>
                <w:rFonts w:ascii="Tahoma" w:hAnsi="Tahoma" w:cs="Tahoma"/>
                <w:sz w:val="20"/>
                <w:szCs w:val="20"/>
                <w:lang w:val="en-US"/>
              </w:rPr>
              <w:t xml:space="preserve"> </w:t>
            </w:r>
            <w:r>
              <w:rPr>
                <w:rFonts w:ascii="Tahoma" w:hAnsi="Tahoma" w:cs="Tahoma"/>
                <w:sz w:val="20"/>
                <w:szCs w:val="20"/>
                <w:lang w:val="en-US"/>
              </w:rPr>
              <w:t>secondary and high school teachers</w:t>
            </w:r>
            <w:r w:rsidRPr="00422601">
              <w:rPr>
                <w:rFonts w:ascii="Tahoma" w:hAnsi="Tahoma" w:cs="Tahoma"/>
                <w:sz w:val="20"/>
                <w:szCs w:val="20"/>
                <w:lang w:val="en-US"/>
              </w:rPr>
              <w:t xml:space="preserve"> who deal with EU-related activities*</w:t>
            </w:r>
          </w:p>
        </w:tc>
      </w:tr>
      <w:tr w:rsidR="00763865" w:rsidTr="006E3DB8">
        <w:tc>
          <w:tcPr>
            <w:tcW w:w="1820" w:type="dxa"/>
          </w:tcPr>
          <w:p w:rsidR="00763865" w:rsidRDefault="00763865" w:rsidP="00D12F38">
            <w:pPr>
              <w:rPr>
                <w:rFonts w:ascii="Tahoma" w:hAnsi="Tahoma" w:cs="Tahoma"/>
                <w:b/>
                <w:sz w:val="20"/>
                <w:szCs w:val="20"/>
                <w:lang w:val="en-US"/>
              </w:rPr>
            </w:pPr>
            <w:r w:rsidRPr="00422601">
              <w:rPr>
                <w:rFonts w:ascii="Tahoma" w:hAnsi="Tahoma" w:cs="Tahoma"/>
                <w:b/>
                <w:bCs/>
                <w:sz w:val="20"/>
                <w:szCs w:val="20"/>
                <w:lang w:val="en-US"/>
              </w:rPr>
              <w:t>Tools</w:t>
            </w:r>
            <w:r w:rsidRPr="00422601">
              <w:rPr>
                <w:rFonts w:ascii="Tahoma" w:hAnsi="Tahoma" w:cs="Tahoma"/>
                <w:sz w:val="20"/>
                <w:szCs w:val="20"/>
                <w:lang w:val="en-US"/>
              </w:rPr>
              <w:t>:</w:t>
            </w:r>
          </w:p>
        </w:tc>
        <w:tc>
          <w:tcPr>
            <w:tcW w:w="7643" w:type="dxa"/>
            <w:gridSpan w:val="2"/>
          </w:tcPr>
          <w:p w:rsidR="00763865" w:rsidRPr="000720CD" w:rsidRDefault="00763865" w:rsidP="00D12F38">
            <w:pPr>
              <w:rPr>
                <w:rFonts w:ascii="Tahoma" w:hAnsi="Tahoma" w:cs="Tahoma"/>
                <w:sz w:val="20"/>
                <w:szCs w:val="20"/>
                <w:lang w:val="en-US"/>
              </w:rPr>
            </w:pPr>
            <w:r w:rsidRPr="00422601">
              <w:rPr>
                <w:rFonts w:ascii="Tahoma" w:hAnsi="Tahoma" w:cs="Tahoma"/>
                <w:sz w:val="20"/>
                <w:szCs w:val="20"/>
                <w:lang w:val="en-US"/>
              </w:rPr>
              <w:t>computer, multimedia projector, Internet.</w:t>
            </w:r>
          </w:p>
        </w:tc>
      </w:tr>
      <w:tr w:rsidR="00763865" w:rsidTr="006E3DB8">
        <w:tc>
          <w:tcPr>
            <w:tcW w:w="1820" w:type="dxa"/>
          </w:tcPr>
          <w:p w:rsidR="00763865" w:rsidRDefault="00763865" w:rsidP="00D12F38">
            <w:pPr>
              <w:rPr>
                <w:rFonts w:ascii="Tahoma" w:hAnsi="Tahoma" w:cs="Tahoma"/>
                <w:b/>
                <w:sz w:val="20"/>
                <w:szCs w:val="20"/>
                <w:lang w:val="en-US"/>
              </w:rPr>
            </w:pPr>
          </w:p>
        </w:tc>
        <w:tc>
          <w:tcPr>
            <w:tcW w:w="984" w:type="dxa"/>
            <w:vAlign w:val="center"/>
          </w:tcPr>
          <w:p w:rsidR="00763865" w:rsidRPr="00422601" w:rsidRDefault="00763865" w:rsidP="00D12F38">
            <w:pPr>
              <w:jc w:val="center"/>
              <w:rPr>
                <w:rFonts w:ascii="Tahoma" w:hAnsi="Tahoma" w:cs="Tahoma"/>
                <w:b/>
                <w:bCs/>
                <w:sz w:val="20"/>
                <w:szCs w:val="20"/>
                <w:lang w:val="en-US"/>
              </w:rPr>
            </w:pPr>
            <w:r w:rsidRPr="00422601">
              <w:rPr>
                <w:rFonts w:ascii="Tahoma" w:hAnsi="Tahoma" w:cs="Tahoma"/>
                <w:b/>
                <w:bCs/>
                <w:sz w:val="20"/>
                <w:szCs w:val="20"/>
                <w:lang w:val="en-US"/>
              </w:rPr>
              <w:t>Date / hours</w:t>
            </w:r>
          </w:p>
        </w:tc>
        <w:tc>
          <w:tcPr>
            <w:tcW w:w="6659" w:type="dxa"/>
            <w:vAlign w:val="center"/>
          </w:tcPr>
          <w:p w:rsidR="00763865" w:rsidRPr="00422601" w:rsidRDefault="00763865" w:rsidP="00D12F38">
            <w:pPr>
              <w:jc w:val="center"/>
              <w:rPr>
                <w:rFonts w:ascii="Tahoma" w:hAnsi="Tahoma" w:cs="Tahoma"/>
                <w:b/>
                <w:bCs/>
                <w:sz w:val="20"/>
                <w:szCs w:val="20"/>
                <w:lang w:val="en-US"/>
              </w:rPr>
            </w:pPr>
            <w:r w:rsidRPr="00422601">
              <w:rPr>
                <w:rFonts w:ascii="Tahoma" w:hAnsi="Tahoma" w:cs="Tahoma"/>
                <w:b/>
                <w:bCs/>
                <w:sz w:val="20"/>
                <w:szCs w:val="20"/>
                <w:lang w:val="en-US"/>
              </w:rPr>
              <w:t>Session</w:t>
            </w:r>
          </w:p>
        </w:tc>
      </w:tr>
      <w:tr w:rsidR="00763865" w:rsidTr="006E3DB8">
        <w:tc>
          <w:tcPr>
            <w:tcW w:w="1820" w:type="dxa"/>
          </w:tcPr>
          <w:p w:rsidR="00763865" w:rsidRDefault="00763865" w:rsidP="00D12F38">
            <w:pPr>
              <w:rPr>
                <w:rFonts w:ascii="Tahoma" w:hAnsi="Tahoma" w:cs="Tahoma"/>
                <w:b/>
                <w:sz w:val="20"/>
                <w:szCs w:val="20"/>
                <w:lang w:val="en-US"/>
              </w:rPr>
            </w:pPr>
          </w:p>
        </w:tc>
        <w:tc>
          <w:tcPr>
            <w:tcW w:w="7643" w:type="dxa"/>
            <w:gridSpan w:val="2"/>
          </w:tcPr>
          <w:p w:rsidR="00763865" w:rsidRDefault="00763865" w:rsidP="00D12F38">
            <w:pPr>
              <w:jc w:val="center"/>
              <w:rPr>
                <w:rFonts w:ascii="Tahoma" w:hAnsi="Tahoma" w:cs="Tahoma"/>
                <w:b/>
                <w:sz w:val="20"/>
                <w:szCs w:val="20"/>
                <w:lang w:val="en-US"/>
              </w:rPr>
            </w:pPr>
            <w:r w:rsidRPr="00F570C6">
              <w:rPr>
                <w:rFonts w:ascii="Tahoma" w:hAnsi="Tahoma" w:cs="Tahoma"/>
                <w:sz w:val="20"/>
                <w:szCs w:val="20"/>
                <w:lang w:val="en-US"/>
              </w:rPr>
              <w:t>Introduction and acquaintance</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984" w:type="dxa"/>
          </w:tcPr>
          <w:p w:rsidR="00763865" w:rsidRPr="00422601" w:rsidRDefault="00763865" w:rsidP="00D12F38">
            <w:pPr>
              <w:rPr>
                <w:rFonts w:ascii="Tahoma" w:hAnsi="Tahoma" w:cs="Tahoma"/>
                <w:sz w:val="20"/>
                <w:szCs w:val="20"/>
                <w:lang w:val="en-US"/>
              </w:rPr>
            </w:pPr>
            <w:r>
              <w:rPr>
                <w:rFonts w:ascii="Tahoma" w:hAnsi="Tahoma" w:cs="Tahoma"/>
                <w:sz w:val="20"/>
                <w:szCs w:val="20"/>
                <w:lang w:val="en-US"/>
              </w:rPr>
              <w:t>Day one</w:t>
            </w:r>
          </w:p>
        </w:tc>
        <w:tc>
          <w:tcPr>
            <w:tcW w:w="6659" w:type="dxa"/>
          </w:tcPr>
          <w:p w:rsidR="00763865" w:rsidRPr="000443C9" w:rsidRDefault="00763865" w:rsidP="00D12F38">
            <w:pPr>
              <w:rPr>
                <w:rFonts w:ascii="Tahoma" w:hAnsi="Tahoma" w:cs="Tahoma"/>
                <w:sz w:val="20"/>
                <w:szCs w:val="20"/>
                <w:lang w:val="en-US"/>
              </w:rPr>
            </w:pPr>
            <w:r w:rsidRPr="000443C9">
              <w:rPr>
                <w:rFonts w:ascii="Tahoma" w:hAnsi="Tahoma" w:cs="Tahoma"/>
                <w:sz w:val="20"/>
                <w:szCs w:val="20"/>
                <w:lang w:val="en-US"/>
              </w:rPr>
              <w:t xml:space="preserve">Session 1. Introduction to the European Integration </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Preconditions and history of the European Integration</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Stages of economic integration within the EU</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as an international organization</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in the world</w:t>
            </w:r>
          </w:p>
          <w:p w:rsidR="00763865" w:rsidRPr="000443C9" w:rsidRDefault="00763865"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Andrii Boiar</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984" w:type="dxa"/>
          </w:tcPr>
          <w:p w:rsidR="00763865" w:rsidRPr="00422601" w:rsidRDefault="00763865" w:rsidP="00D12F38">
            <w:pPr>
              <w:rPr>
                <w:rFonts w:ascii="Tahoma" w:hAnsi="Tahoma" w:cs="Tahoma"/>
                <w:sz w:val="20"/>
                <w:szCs w:val="20"/>
                <w:lang w:val="en-US"/>
              </w:rPr>
            </w:pPr>
            <w:r>
              <w:rPr>
                <w:rFonts w:ascii="Tahoma" w:hAnsi="Tahoma" w:cs="Tahoma"/>
                <w:sz w:val="20"/>
                <w:szCs w:val="20"/>
                <w:lang w:val="en-US"/>
              </w:rPr>
              <w:t>Day two</w:t>
            </w:r>
          </w:p>
          <w:p w:rsidR="00763865" w:rsidRPr="00422601" w:rsidRDefault="00763865" w:rsidP="00D12F38">
            <w:pPr>
              <w:rPr>
                <w:rFonts w:ascii="Tahoma" w:hAnsi="Tahoma" w:cs="Tahoma"/>
                <w:sz w:val="20"/>
                <w:szCs w:val="20"/>
                <w:lang w:val="en-US"/>
              </w:rPr>
            </w:pPr>
          </w:p>
        </w:tc>
        <w:tc>
          <w:tcPr>
            <w:tcW w:w="6659" w:type="dxa"/>
          </w:tcPr>
          <w:p w:rsidR="00763865" w:rsidRPr="000443C9" w:rsidRDefault="00763865" w:rsidP="00D12F38">
            <w:pPr>
              <w:rPr>
                <w:rFonts w:ascii="Tahoma" w:hAnsi="Tahoma" w:cs="Tahoma"/>
                <w:sz w:val="20"/>
                <w:szCs w:val="20"/>
                <w:lang w:val="en-US"/>
              </w:rPr>
            </w:pPr>
            <w:r w:rsidRPr="000443C9">
              <w:rPr>
                <w:rFonts w:ascii="Tahoma" w:hAnsi="Tahoma" w:cs="Tahoma"/>
                <w:sz w:val="20"/>
                <w:szCs w:val="20"/>
                <w:lang w:val="en-US"/>
              </w:rPr>
              <w:t xml:space="preserve">Session 2. Institutional </w:t>
            </w:r>
            <w:r>
              <w:rPr>
                <w:rFonts w:ascii="Tahoma" w:hAnsi="Tahoma" w:cs="Tahoma"/>
                <w:sz w:val="20"/>
                <w:szCs w:val="20"/>
                <w:lang w:val="en-US"/>
              </w:rPr>
              <w:t xml:space="preserve">and financial </w:t>
            </w:r>
            <w:r w:rsidRPr="000443C9">
              <w:rPr>
                <w:rFonts w:ascii="Tahoma" w:hAnsi="Tahoma" w:cs="Tahoma"/>
                <w:sz w:val="20"/>
                <w:szCs w:val="20"/>
                <w:lang w:val="en-US"/>
              </w:rPr>
              <w:t>arrangements in EU</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bCs/>
                <w:sz w:val="20"/>
                <w:szCs w:val="20"/>
                <w:lang w:val="uk-UA"/>
              </w:rPr>
              <w:t xml:space="preserve">Acquis communautaire </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institutions</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Decision-making in EU</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Financial resources of the European Integration</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 financial initiatives: funds, programs, instruments</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Budgetary process in EU</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 grants</w:t>
            </w:r>
          </w:p>
          <w:p w:rsidR="00763865" w:rsidRPr="000443C9" w:rsidRDefault="00763865"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Andrii Boiar</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984" w:type="dxa"/>
          </w:tcPr>
          <w:p w:rsidR="00763865" w:rsidRDefault="00763865" w:rsidP="00D12F38">
            <w:pPr>
              <w:rPr>
                <w:rFonts w:ascii="Tahoma" w:hAnsi="Tahoma" w:cs="Tahoma"/>
                <w:sz w:val="20"/>
                <w:szCs w:val="20"/>
                <w:lang w:val="en-US"/>
              </w:rPr>
            </w:pPr>
            <w:r>
              <w:rPr>
                <w:rFonts w:ascii="Tahoma" w:hAnsi="Tahoma" w:cs="Tahoma"/>
                <w:sz w:val="20"/>
                <w:szCs w:val="20"/>
                <w:lang w:val="en-US"/>
              </w:rPr>
              <w:t xml:space="preserve">Day three </w:t>
            </w:r>
          </w:p>
        </w:tc>
        <w:tc>
          <w:tcPr>
            <w:tcW w:w="6659" w:type="dxa"/>
          </w:tcPr>
          <w:p w:rsidR="00763865" w:rsidRPr="000443C9" w:rsidRDefault="00763865" w:rsidP="00D12F38">
            <w:pPr>
              <w:rPr>
                <w:rFonts w:ascii="Tahoma" w:hAnsi="Tahoma" w:cs="Tahoma"/>
                <w:color w:val="FF0000"/>
                <w:sz w:val="20"/>
                <w:szCs w:val="20"/>
                <w:lang w:val="en-US"/>
              </w:rPr>
            </w:pPr>
            <w:r>
              <w:rPr>
                <w:rFonts w:ascii="Tahoma" w:hAnsi="Tahoma" w:cs="Tahoma"/>
                <w:sz w:val="20"/>
                <w:szCs w:val="20"/>
                <w:lang w:val="en-US"/>
              </w:rPr>
              <w:t>Session 3</w:t>
            </w:r>
            <w:r w:rsidRPr="000443C9">
              <w:rPr>
                <w:rFonts w:ascii="Tahoma" w:hAnsi="Tahoma" w:cs="Tahoma"/>
                <w:sz w:val="20"/>
                <w:szCs w:val="20"/>
                <w:lang w:val="en-US"/>
              </w:rPr>
              <w:t xml:space="preserve">. Selected sectoral and horizontal policies of the EU </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Internal market and customs union</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Economic and monetary union</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Trade policy</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Cohesion </w:t>
            </w:r>
            <w:r>
              <w:rPr>
                <w:rFonts w:ascii="Tahoma" w:hAnsi="Tahoma" w:cs="Tahoma"/>
                <w:sz w:val="20"/>
                <w:szCs w:val="20"/>
                <w:lang w:val="en-US"/>
              </w:rPr>
              <w:t>and regional policy</w:t>
            </w:r>
          </w:p>
          <w:p w:rsidR="00763865"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Agriculture</w:t>
            </w:r>
          </w:p>
          <w:p w:rsidR="00763865" w:rsidRPr="000443C9"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Rural development</w:t>
            </w:r>
          </w:p>
          <w:p w:rsidR="00763865" w:rsidRPr="000443C9"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Research and innovation </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Fishery and maritime policy</w:t>
            </w:r>
          </w:p>
          <w:p w:rsidR="00763865" w:rsidRPr="000443C9" w:rsidRDefault="00763865"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xml:space="preserve">: </w:t>
            </w:r>
            <w:r>
              <w:rPr>
                <w:rFonts w:ascii="Tahoma" w:hAnsi="Tahoma" w:cs="Tahoma"/>
                <w:color w:val="141823"/>
                <w:sz w:val="20"/>
                <w:szCs w:val="20"/>
                <w:lang w:val="en-US" w:eastAsia="ru-RU"/>
              </w:rPr>
              <w:t>Viktor Chuzhikov</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984" w:type="dxa"/>
          </w:tcPr>
          <w:p w:rsidR="00763865" w:rsidRPr="00422601" w:rsidRDefault="00763865" w:rsidP="00D12F38">
            <w:pPr>
              <w:rPr>
                <w:rFonts w:ascii="Tahoma" w:hAnsi="Tahoma" w:cs="Tahoma"/>
                <w:sz w:val="20"/>
                <w:szCs w:val="20"/>
                <w:lang w:val="en-US"/>
              </w:rPr>
            </w:pPr>
            <w:r>
              <w:rPr>
                <w:rFonts w:ascii="Tahoma" w:hAnsi="Tahoma" w:cs="Tahoma"/>
                <w:sz w:val="20"/>
                <w:szCs w:val="20"/>
                <w:lang w:val="en-US"/>
              </w:rPr>
              <w:t>Day four</w:t>
            </w:r>
          </w:p>
        </w:tc>
        <w:tc>
          <w:tcPr>
            <w:tcW w:w="6659" w:type="dxa"/>
          </w:tcPr>
          <w:p w:rsidR="00763865" w:rsidRPr="000443C9" w:rsidRDefault="00763865" w:rsidP="00D12F38">
            <w:pPr>
              <w:rPr>
                <w:rFonts w:ascii="Tahoma" w:hAnsi="Tahoma" w:cs="Tahoma"/>
                <w:color w:val="FF0000"/>
                <w:sz w:val="20"/>
                <w:szCs w:val="20"/>
                <w:lang w:val="en-US"/>
              </w:rPr>
            </w:pPr>
            <w:r>
              <w:rPr>
                <w:rFonts w:ascii="Tahoma" w:hAnsi="Tahoma" w:cs="Tahoma"/>
                <w:sz w:val="20"/>
                <w:szCs w:val="20"/>
                <w:lang w:val="en-US"/>
              </w:rPr>
              <w:t>Session 4</w:t>
            </w:r>
            <w:r w:rsidRPr="000443C9">
              <w:rPr>
                <w:rFonts w:ascii="Tahoma" w:hAnsi="Tahoma" w:cs="Tahoma"/>
                <w:sz w:val="20"/>
                <w:szCs w:val="20"/>
                <w:lang w:val="en-US"/>
              </w:rPr>
              <w:t xml:space="preserve">. Selected sectoral and horizontal policies of the EU </w:t>
            </w:r>
            <w:r>
              <w:rPr>
                <w:rFonts w:ascii="Tahoma" w:hAnsi="Tahoma" w:cs="Tahoma"/>
                <w:sz w:val="20"/>
                <w:szCs w:val="20"/>
                <w:lang w:val="en-US"/>
              </w:rPr>
              <w:t>(continued)</w:t>
            </w:r>
          </w:p>
          <w:p w:rsidR="00763865"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Transport and energy </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Environment</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Freedom, security and justice</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Industry</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Employment</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Communication and information</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Foreign policy and external borders</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Civil protection and defense</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Administrative cooperation</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Health, culture, education and sport</w:t>
            </w:r>
          </w:p>
          <w:p w:rsidR="00763865" w:rsidRPr="000443C9" w:rsidRDefault="00763865" w:rsidP="00D12F38">
            <w:pPr>
              <w:contextualSpacing/>
              <w:rPr>
                <w:rFonts w:ascii="Tahoma" w:hAnsi="Tahoma" w:cs="Tahoma"/>
                <w:sz w:val="20"/>
                <w:szCs w:val="20"/>
                <w:lang w:val="en-US"/>
              </w:rPr>
            </w:pPr>
            <w:r w:rsidRPr="00A51EE9">
              <w:rPr>
                <w:rFonts w:ascii="Tahoma" w:hAnsi="Tahoma" w:cs="Tahoma"/>
                <w:sz w:val="20"/>
                <w:szCs w:val="20"/>
                <w:lang w:val="en-US"/>
              </w:rPr>
              <w:t xml:space="preserve">Trainers: </w:t>
            </w:r>
            <w:r>
              <w:rPr>
                <w:rFonts w:ascii="Tahoma" w:hAnsi="Tahoma" w:cs="Tahoma"/>
                <w:sz w:val="20"/>
                <w:szCs w:val="20"/>
                <w:lang w:val="en-US"/>
              </w:rPr>
              <w:t xml:space="preserve">Sergii Fedoniuk, </w:t>
            </w:r>
            <w:r w:rsidRPr="00A51EE9">
              <w:rPr>
                <w:rFonts w:ascii="Tahoma" w:hAnsi="Tahoma" w:cs="Tahoma"/>
                <w:sz w:val="20"/>
                <w:szCs w:val="20"/>
                <w:lang w:val="en-US"/>
              </w:rPr>
              <w:t>Kateryna Dedeliuk</w:t>
            </w:r>
            <w:r>
              <w:rPr>
                <w:rFonts w:ascii="Tahoma" w:hAnsi="Tahoma" w:cs="Tahoma"/>
                <w:sz w:val="20"/>
                <w:szCs w:val="20"/>
                <w:lang w:val="en-US"/>
              </w:rPr>
              <w:t>, Nataliya Karpchuk</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984" w:type="dxa"/>
          </w:tcPr>
          <w:p w:rsidR="00763865" w:rsidRPr="00422601" w:rsidRDefault="00763865" w:rsidP="00D12F38">
            <w:pPr>
              <w:rPr>
                <w:rFonts w:ascii="Tahoma" w:hAnsi="Tahoma" w:cs="Tahoma"/>
                <w:sz w:val="20"/>
                <w:szCs w:val="20"/>
                <w:lang w:val="en-US"/>
              </w:rPr>
            </w:pPr>
            <w:r>
              <w:rPr>
                <w:rFonts w:ascii="Tahoma" w:hAnsi="Tahoma" w:cs="Tahoma"/>
                <w:sz w:val="20"/>
                <w:szCs w:val="20"/>
                <w:lang w:val="en-US"/>
              </w:rPr>
              <w:t>Day five</w:t>
            </w:r>
          </w:p>
        </w:tc>
        <w:tc>
          <w:tcPr>
            <w:tcW w:w="6659" w:type="dxa"/>
          </w:tcPr>
          <w:p w:rsidR="00763865" w:rsidRPr="007326B9" w:rsidRDefault="00763865" w:rsidP="00D12F38">
            <w:pPr>
              <w:rPr>
                <w:rFonts w:ascii="Tahoma" w:hAnsi="Tahoma" w:cs="Tahoma"/>
                <w:sz w:val="20"/>
                <w:szCs w:val="20"/>
                <w:lang w:val="en-US"/>
              </w:rPr>
            </w:pPr>
            <w:r w:rsidRPr="000443C9">
              <w:rPr>
                <w:rFonts w:ascii="Tahoma" w:hAnsi="Tahoma" w:cs="Tahoma"/>
                <w:sz w:val="20"/>
                <w:szCs w:val="20"/>
                <w:lang w:val="en-US"/>
              </w:rPr>
              <w:t xml:space="preserve">Session </w:t>
            </w:r>
            <w:r>
              <w:rPr>
                <w:rFonts w:ascii="Tahoma" w:hAnsi="Tahoma" w:cs="Tahoma"/>
                <w:sz w:val="20"/>
                <w:szCs w:val="20"/>
                <w:lang w:val="en-US"/>
              </w:rPr>
              <w:t>5</w:t>
            </w:r>
            <w:r w:rsidRPr="000443C9">
              <w:rPr>
                <w:rFonts w:ascii="Tahoma" w:hAnsi="Tahoma" w:cs="Tahoma"/>
                <w:sz w:val="20"/>
                <w:szCs w:val="20"/>
                <w:lang w:val="en-US"/>
              </w:rPr>
              <w:t xml:space="preserve">. </w:t>
            </w:r>
            <w:r>
              <w:rPr>
                <w:rFonts w:ascii="Tahoma" w:hAnsi="Tahoma" w:cs="Tahoma"/>
                <w:sz w:val="20"/>
                <w:szCs w:val="20"/>
                <w:lang w:val="en-US"/>
              </w:rPr>
              <w:t>School teacher</w:t>
            </w:r>
            <w:r w:rsidRPr="007326B9">
              <w:rPr>
                <w:rFonts w:ascii="Tahoma" w:hAnsi="Tahoma" w:cs="Tahoma"/>
                <w:sz w:val="20"/>
                <w:szCs w:val="20"/>
                <w:lang w:val="en-US"/>
              </w:rPr>
              <w:t xml:space="preserve"> in the system of EU-Ukraine relations</w:t>
            </w:r>
          </w:p>
          <w:p w:rsidR="00763865" w:rsidRPr="007326B9" w:rsidRDefault="00763865" w:rsidP="00763865">
            <w:pPr>
              <w:pStyle w:val="a5"/>
              <w:numPr>
                <w:ilvl w:val="0"/>
                <w:numId w:val="1"/>
              </w:numPr>
              <w:rPr>
                <w:rFonts w:ascii="Tahoma" w:hAnsi="Tahoma" w:cs="Tahoma"/>
                <w:sz w:val="20"/>
                <w:szCs w:val="20"/>
                <w:lang w:val="en-US"/>
              </w:rPr>
            </w:pPr>
            <w:r>
              <w:rPr>
                <w:rFonts w:ascii="Tahoma" w:hAnsi="Tahoma" w:cs="Tahoma"/>
                <w:sz w:val="20"/>
                <w:szCs w:val="20"/>
                <w:lang w:val="en-US"/>
              </w:rPr>
              <w:t>Education policy</w:t>
            </w:r>
            <w:r w:rsidRPr="007326B9">
              <w:rPr>
                <w:rFonts w:ascii="Tahoma" w:hAnsi="Tahoma" w:cs="Tahoma"/>
                <w:sz w:val="20"/>
                <w:szCs w:val="20"/>
                <w:lang w:val="en-US"/>
              </w:rPr>
              <w:t xml:space="preserve"> in the EU</w:t>
            </w:r>
            <w:r>
              <w:rPr>
                <w:rFonts w:ascii="Tahoma" w:hAnsi="Tahoma" w:cs="Tahoma"/>
                <w:sz w:val="20"/>
                <w:szCs w:val="20"/>
                <w:lang w:val="en-US"/>
              </w:rPr>
              <w:t xml:space="preserve"> and its member states</w:t>
            </w:r>
          </w:p>
          <w:p w:rsidR="00763865" w:rsidRPr="007326B9" w:rsidRDefault="00763865" w:rsidP="00763865">
            <w:pPr>
              <w:pStyle w:val="a5"/>
              <w:numPr>
                <w:ilvl w:val="0"/>
                <w:numId w:val="1"/>
              </w:numPr>
              <w:rPr>
                <w:rFonts w:ascii="Tahoma" w:hAnsi="Tahoma" w:cs="Tahoma"/>
                <w:sz w:val="20"/>
                <w:szCs w:val="20"/>
                <w:lang w:val="en-US"/>
              </w:rPr>
            </w:pPr>
            <w:r>
              <w:rPr>
                <w:rFonts w:ascii="Tahoma" w:hAnsi="Tahoma" w:cs="Tahoma"/>
                <w:sz w:val="20"/>
                <w:szCs w:val="20"/>
                <w:lang w:val="en-US"/>
              </w:rPr>
              <w:t>Types (levels) of education in the EU</w:t>
            </w:r>
          </w:p>
          <w:p w:rsidR="00763865" w:rsidRPr="007326B9" w:rsidRDefault="00763865" w:rsidP="00763865">
            <w:pPr>
              <w:pStyle w:val="a5"/>
              <w:numPr>
                <w:ilvl w:val="0"/>
                <w:numId w:val="1"/>
              </w:numPr>
              <w:rPr>
                <w:rFonts w:ascii="Tahoma" w:hAnsi="Tahoma" w:cs="Tahoma"/>
                <w:sz w:val="20"/>
                <w:szCs w:val="20"/>
                <w:lang w:val="en-US"/>
              </w:rPr>
            </w:pPr>
            <w:r>
              <w:rPr>
                <w:rFonts w:ascii="Tahoma" w:hAnsi="Tahoma" w:cs="Tahoma"/>
                <w:sz w:val="20"/>
                <w:szCs w:val="20"/>
                <w:lang w:val="en-US"/>
              </w:rPr>
              <w:lastRenderedPageBreak/>
              <w:t>Life-long learning concept in the EU</w:t>
            </w:r>
          </w:p>
          <w:p w:rsidR="00763865" w:rsidRPr="007326B9" w:rsidRDefault="00763865" w:rsidP="00763865">
            <w:pPr>
              <w:pStyle w:val="a5"/>
              <w:numPr>
                <w:ilvl w:val="0"/>
                <w:numId w:val="1"/>
              </w:numPr>
              <w:rPr>
                <w:rFonts w:ascii="Tahoma" w:hAnsi="Tahoma" w:cs="Tahoma"/>
                <w:sz w:val="20"/>
                <w:szCs w:val="20"/>
                <w:lang w:val="en-US"/>
              </w:rPr>
            </w:pPr>
            <w:r>
              <w:rPr>
                <w:rFonts w:ascii="Tahoma" w:hAnsi="Tahoma" w:cs="Tahoma"/>
                <w:sz w:val="20"/>
                <w:szCs w:val="20"/>
                <w:lang w:val="en-US"/>
              </w:rPr>
              <w:t xml:space="preserve">Educational systems </w:t>
            </w:r>
            <w:r w:rsidRPr="007326B9">
              <w:rPr>
                <w:rFonts w:ascii="Tahoma" w:hAnsi="Tahoma" w:cs="Tahoma"/>
                <w:sz w:val="20"/>
                <w:szCs w:val="20"/>
                <w:lang w:val="en-US"/>
              </w:rPr>
              <w:t>in EU and UA</w:t>
            </w:r>
            <w:r>
              <w:rPr>
                <w:rFonts w:ascii="Tahoma" w:hAnsi="Tahoma" w:cs="Tahoma"/>
                <w:sz w:val="20"/>
                <w:szCs w:val="20"/>
                <w:lang w:val="en-US"/>
              </w:rPr>
              <w:t>: comparative analysis</w:t>
            </w:r>
          </w:p>
          <w:p w:rsidR="00763865" w:rsidRPr="007326B9" w:rsidRDefault="00763865" w:rsidP="00763865">
            <w:pPr>
              <w:pStyle w:val="a5"/>
              <w:numPr>
                <w:ilvl w:val="0"/>
                <w:numId w:val="1"/>
              </w:numPr>
              <w:rPr>
                <w:rFonts w:ascii="Tahoma" w:hAnsi="Tahoma" w:cs="Tahoma"/>
                <w:sz w:val="20"/>
                <w:szCs w:val="20"/>
                <w:lang w:val="en-US"/>
              </w:rPr>
            </w:pPr>
            <w:r w:rsidRPr="007326B9">
              <w:rPr>
                <w:rFonts w:ascii="Tahoma" w:hAnsi="Tahoma" w:cs="Tahoma"/>
                <w:sz w:val="20"/>
                <w:szCs w:val="20"/>
                <w:lang w:val="en-US"/>
              </w:rPr>
              <w:t xml:space="preserve">EU technical assistance for Ukraine in </w:t>
            </w:r>
            <w:r>
              <w:rPr>
                <w:rFonts w:ascii="Tahoma" w:hAnsi="Tahoma" w:cs="Tahoma"/>
                <w:sz w:val="20"/>
                <w:szCs w:val="20"/>
                <w:lang w:val="en-US"/>
              </w:rPr>
              <w:t>education</w:t>
            </w:r>
            <w:r w:rsidRPr="007326B9">
              <w:rPr>
                <w:rFonts w:ascii="Tahoma" w:hAnsi="Tahoma" w:cs="Tahoma"/>
                <w:sz w:val="20"/>
                <w:szCs w:val="20"/>
                <w:lang w:val="en-US"/>
              </w:rPr>
              <w:t xml:space="preserve"> sector </w:t>
            </w:r>
          </w:p>
          <w:p w:rsidR="00763865" w:rsidRPr="007326B9" w:rsidRDefault="00763865" w:rsidP="00763865">
            <w:pPr>
              <w:pStyle w:val="a5"/>
              <w:numPr>
                <w:ilvl w:val="0"/>
                <w:numId w:val="1"/>
              </w:numPr>
              <w:rPr>
                <w:rFonts w:ascii="Tahoma" w:hAnsi="Tahoma" w:cs="Tahoma"/>
                <w:sz w:val="20"/>
                <w:szCs w:val="20"/>
                <w:lang w:val="en-US"/>
              </w:rPr>
            </w:pPr>
            <w:r>
              <w:rPr>
                <w:rFonts w:ascii="Tahoma" w:hAnsi="Tahoma" w:cs="Tahoma"/>
                <w:sz w:val="20"/>
                <w:szCs w:val="20"/>
                <w:lang w:val="en-US"/>
              </w:rPr>
              <w:t>Pedagogical education in Ukraine in terms of European integration</w:t>
            </w:r>
          </w:p>
          <w:p w:rsidR="00763865" w:rsidRPr="007326B9" w:rsidRDefault="00763865" w:rsidP="00D12F38">
            <w:pPr>
              <w:contextualSpacing/>
              <w:rPr>
                <w:rFonts w:ascii="Tahoma" w:hAnsi="Tahoma" w:cs="Tahoma"/>
                <w:sz w:val="20"/>
                <w:szCs w:val="20"/>
                <w:lang w:val="en-US"/>
              </w:rPr>
            </w:pPr>
            <w:r w:rsidRPr="007326B9">
              <w:rPr>
                <w:rFonts w:ascii="Tahoma" w:hAnsi="Tahoma" w:cs="Tahoma"/>
                <w:sz w:val="20"/>
                <w:szCs w:val="20"/>
                <w:lang w:val="en-US"/>
              </w:rPr>
              <w:t xml:space="preserve">Trainer: </w:t>
            </w:r>
            <w:r>
              <w:rPr>
                <w:rFonts w:ascii="Tahoma" w:hAnsi="Tahoma" w:cs="Tahoma"/>
                <w:sz w:val="20"/>
                <w:szCs w:val="20"/>
                <w:lang w:val="en-US"/>
              </w:rPr>
              <w:t>Valentyna Vitiuk, Nataliya Karpchuk</w:t>
            </w:r>
            <w:r w:rsidRPr="007326B9">
              <w:rPr>
                <w:rFonts w:ascii="Tahoma" w:hAnsi="Tahoma" w:cs="Tahoma"/>
                <w:sz w:val="20"/>
                <w:szCs w:val="20"/>
                <w:lang w:val="en-US"/>
              </w:rPr>
              <w:t>.</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984" w:type="dxa"/>
          </w:tcPr>
          <w:p w:rsidR="00763865" w:rsidRPr="00422601" w:rsidRDefault="00763865" w:rsidP="00D12F38">
            <w:pPr>
              <w:rPr>
                <w:rFonts w:ascii="Tahoma" w:hAnsi="Tahoma" w:cs="Tahoma"/>
                <w:sz w:val="20"/>
                <w:szCs w:val="20"/>
                <w:lang w:val="en-US"/>
              </w:rPr>
            </w:pPr>
            <w:r>
              <w:rPr>
                <w:rFonts w:ascii="Tahoma" w:hAnsi="Tahoma" w:cs="Tahoma"/>
                <w:sz w:val="20"/>
                <w:szCs w:val="20"/>
                <w:lang w:val="en-US"/>
              </w:rPr>
              <w:t>Day six</w:t>
            </w:r>
          </w:p>
        </w:tc>
        <w:tc>
          <w:tcPr>
            <w:tcW w:w="6659" w:type="dxa"/>
          </w:tcPr>
          <w:p w:rsidR="00763865" w:rsidRPr="000443C9" w:rsidRDefault="00763865" w:rsidP="00D12F38">
            <w:pPr>
              <w:rPr>
                <w:rFonts w:ascii="Tahoma" w:hAnsi="Tahoma" w:cs="Tahoma"/>
                <w:sz w:val="20"/>
                <w:szCs w:val="20"/>
                <w:lang w:val="en-US"/>
              </w:rPr>
            </w:pPr>
            <w:r w:rsidRPr="007326B9">
              <w:rPr>
                <w:rFonts w:ascii="Tahoma" w:hAnsi="Tahoma" w:cs="Tahoma"/>
                <w:sz w:val="20"/>
                <w:szCs w:val="20"/>
                <w:lang w:val="en-US"/>
              </w:rPr>
              <w:t xml:space="preserve"> </w:t>
            </w:r>
            <w:r w:rsidRPr="000443C9">
              <w:rPr>
                <w:rFonts w:ascii="Tahoma" w:hAnsi="Tahoma" w:cs="Tahoma"/>
                <w:sz w:val="20"/>
                <w:szCs w:val="20"/>
                <w:lang w:val="en-US"/>
              </w:rPr>
              <w:t xml:space="preserve">Session </w:t>
            </w:r>
            <w:r>
              <w:rPr>
                <w:rFonts w:ascii="Tahoma" w:hAnsi="Tahoma" w:cs="Tahoma"/>
                <w:sz w:val="20"/>
                <w:szCs w:val="20"/>
                <w:lang w:val="en-US"/>
              </w:rPr>
              <w:t>6</w:t>
            </w:r>
            <w:r w:rsidRPr="000443C9">
              <w:rPr>
                <w:rFonts w:ascii="Tahoma" w:hAnsi="Tahoma" w:cs="Tahoma"/>
                <w:sz w:val="20"/>
                <w:szCs w:val="20"/>
                <w:lang w:val="en-US"/>
              </w:rPr>
              <w:t>. The EU enlargement</w:t>
            </w:r>
            <w:r>
              <w:rPr>
                <w:rFonts w:ascii="Tahoma" w:hAnsi="Tahoma" w:cs="Tahoma"/>
                <w:sz w:val="20"/>
                <w:szCs w:val="20"/>
                <w:lang w:val="en-US"/>
              </w:rPr>
              <w:t xml:space="preserve"> and prospects for Ukraine</w:t>
            </w:r>
            <w:r w:rsidRPr="000443C9">
              <w:rPr>
                <w:rFonts w:ascii="Tahoma" w:hAnsi="Tahoma" w:cs="Tahoma"/>
                <w:sz w:val="20"/>
                <w:szCs w:val="20"/>
                <w:lang w:val="en-US"/>
              </w:rPr>
              <w:t xml:space="preserve"> </w:t>
            </w:r>
          </w:p>
          <w:p w:rsidR="00763865" w:rsidRDefault="00763865" w:rsidP="00763865">
            <w:pPr>
              <w:pStyle w:val="a5"/>
              <w:numPr>
                <w:ilvl w:val="0"/>
                <w:numId w:val="1"/>
              </w:numPr>
              <w:contextualSpacing/>
              <w:rPr>
                <w:rFonts w:ascii="Tahoma" w:hAnsi="Tahoma" w:cs="Tahoma"/>
                <w:sz w:val="20"/>
                <w:szCs w:val="20"/>
                <w:lang w:val="en-US"/>
              </w:rPr>
            </w:pPr>
            <w:r>
              <w:rPr>
                <w:rFonts w:ascii="Tahoma" w:hAnsi="Tahoma" w:cs="Tahoma"/>
                <w:sz w:val="20"/>
                <w:szCs w:val="20"/>
                <w:lang w:val="en-US"/>
              </w:rPr>
              <w:t>Polish experience of the EU accession  (trainer</w:t>
            </w:r>
            <w:r w:rsidRPr="000443C9">
              <w:rPr>
                <w:rFonts w:ascii="Tahoma" w:hAnsi="Tahoma" w:cs="Tahoma"/>
                <w:sz w:val="20"/>
                <w:szCs w:val="20"/>
                <w:lang w:val="en-US"/>
              </w:rPr>
              <w:t xml:space="preserve">: </w:t>
            </w:r>
            <w:r w:rsidRPr="000443C9">
              <w:rPr>
                <w:rFonts w:ascii="Tahoma" w:hAnsi="Tahoma" w:cs="Tahoma"/>
                <w:sz w:val="20"/>
                <w:szCs w:val="20"/>
                <w:lang w:eastAsia="ru-RU"/>
              </w:rPr>
              <w:t>Marcin Szewczak</w:t>
            </w:r>
            <w:r>
              <w:rPr>
                <w:rFonts w:ascii="Tahoma" w:hAnsi="Tahoma" w:cs="Tahoma"/>
                <w:sz w:val="20"/>
                <w:szCs w:val="20"/>
                <w:lang w:eastAsia="ru-RU"/>
              </w:rPr>
              <w:t>)</w:t>
            </w:r>
            <w:r>
              <w:rPr>
                <w:rFonts w:ascii="Tahoma" w:hAnsi="Tahoma" w:cs="Tahoma"/>
                <w:sz w:val="20"/>
                <w:szCs w:val="20"/>
                <w:lang w:val="en-US"/>
              </w:rPr>
              <w:t>:</w:t>
            </w:r>
          </w:p>
          <w:p w:rsidR="00763865" w:rsidRPr="000443C9" w:rsidRDefault="00763865" w:rsidP="00763865">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Political and historical background of the EU-Poland relationship</w:t>
            </w:r>
          </w:p>
          <w:p w:rsidR="00763865" w:rsidRPr="000443C9" w:rsidRDefault="00763865" w:rsidP="00763865">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On the course of integration: from political will to real steps</w:t>
            </w:r>
          </w:p>
          <w:p w:rsidR="00763865" w:rsidRPr="000443C9" w:rsidRDefault="00763865" w:rsidP="00763865">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Institutional and legislative arrangements on the way to EU</w:t>
            </w:r>
          </w:p>
          <w:p w:rsidR="00763865" w:rsidRPr="000443C9" w:rsidRDefault="00763865" w:rsidP="00763865">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Cost and benefits of the European integration of Poland</w:t>
            </w:r>
          </w:p>
          <w:p w:rsidR="00763865" w:rsidRDefault="00763865" w:rsidP="00763865">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EU–Ukraine relationship</w:t>
            </w:r>
            <w:r>
              <w:rPr>
                <w:rFonts w:ascii="Tahoma" w:hAnsi="Tahoma" w:cs="Tahoma"/>
                <w:sz w:val="20"/>
                <w:szCs w:val="20"/>
                <w:lang w:val="en-US"/>
              </w:rPr>
              <w:t xml:space="preserve"> (trainer</w:t>
            </w:r>
            <w:r w:rsidRPr="000443C9">
              <w:rPr>
                <w:rFonts w:ascii="Tahoma" w:hAnsi="Tahoma" w:cs="Tahoma"/>
                <w:sz w:val="20"/>
                <w:szCs w:val="20"/>
                <w:lang w:val="en-US"/>
              </w:rPr>
              <w:t xml:space="preserve">: </w:t>
            </w:r>
            <w:r>
              <w:rPr>
                <w:rFonts w:ascii="Tahoma" w:hAnsi="Tahoma" w:cs="Tahoma"/>
                <w:sz w:val="20"/>
                <w:szCs w:val="20"/>
                <w:lang w:eastAsia="ru-RU"/>
              </w:rPr>
              <w:t>Nataliya Romaniuk)</w:t>
            </w:r>
            <w:r>
              <w:rPr>
                <w:rFonts w:ascii="Tahoma" w:hAnsi="Tahoma" w:cs="Tahoma"/>
                <w:sz w:val="20"/>
                <w:szCs w:val="20"/>
                <w:lang w:val="en-US"/>
              </w:rPr>
              <w:t>:</w:t>
            </w:r>
          </w:p>
          <w:p w:rsidR="00763865" w:rsidRDefault="00763865" w:rsidP="00763865">
            <w:pPr>
              <w:pStyle w:val="a5"/>
              <w:numPr>
                <w:ilvl w:val="0"/>
                <w:numId w:val="1"/>
              </w:numPr>
              <w:ind w:left="983"/>
              <w:contextualSpacing/>
              <w:rPr>
                <w:rFonts w:ascii="Tahoma" w:hAnsi="Tahoma" w:cs="Tahoma"/>
                <w:sz w:val="20"/>
                <w:szCs w:val="20"/>
                <w:lang w:val="en-US"/>
              </w:rPr>
            </w:pPr>
            <w:r>
              <w:rPr>
                <w:rFonts w:ascii="Tahoma" w:hAnsi="Tahoma" w:cs="Tahoma"/>
                <w:sz w:val="20"/>
                <w:szCs w:val="20"/>
                <w:lang w:val="en-US"/>
              </w:rPr>
              <w:t>History of EU-UA relations</w:t>
            </w:r>
          </w:p>
          <w:p w:rsidR="00763865" w:rsidRDefault="00763865" w:rsidP="00763865">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Institutional and legislative arrangements</w:t>
            </w:r>
          </w:p>
          <w:p w:rsidR="00763865" w:rsidRPr="000443C9" w:rsidRDefault="00763865" w:rsidP="00763865">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Association agreement</w:t>
            </w:r>
            <w:r>
              <w:rPr>
                <w:rFonts w:ascii="Tahoma" w:hAnsi="Tahoma" w:cs="Tahoma"/>
                <w:sz w:val="20"/>
                <w:szCs w:val="20"/>
                <w:lang w:val="en-US"/>
              </w:rPr>
              <w:t>: state and implementation</w:t>
            </w:r>
          </w:p>
          <w:p w:rsidR="00763865" w:rsidRDefault="00763865" w:rsidP="00763865">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EU-UA FTA</w:t>
            </w:r>
          </w:p>
          <w:p w:rsidR="00763865" w:rsidRPr="000443C9" w:rsidRDefault="00763865" w:rsidP="00763865">
            <w:pPr>
              <w:pStyle w:val="a5"/>
              <w:numPr>
                <w:ilvl w:val="0"/>
                <w:numId w:val="1"/>
              </w:numPr>
              <w:ind w:left="983"/>
              <w:contextualSpacing/>
              <w:rPr>
                <w:rFonts w:ascii="Tahoma" w:hAnsi="Tahoma" w:cs="Tahoma"/>
                <w:sz w:val="20"/>
                <w:szCs w:val="20"/>
                <w:lang w:val="en-US"/>
              </w:rPr>
            </w:pPr>
            <w:r w:rsidRPr="00A54578">
              <w:rPr>
                <w:rFonts w:ascii="Tahoma" w:hAnsi="Tahoma" w:cs="Tahoma"/>
                <w:sz w:val="20"/>
                <w:szCs w:val="20"/>
                <w:lang w:val="en-US"/>
              </w:rPr>
              <w:t>Prospects of EU membership for Ukraine</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7643" w:type="dxa"/>
            <w:gridSpan w:val="2"/>
          </w:tcPr>
          <w:p w:rsidR="00763865" w:rsidRDefault="00763865" w:rsidP="00D12F38">
            <w:pPr>
              <w:rPr>
                <w:rFonts w:ascii="Tahoma" w:hAnsi="Tahoma" w:cs="Tahoma"/>
                <w:b/>
                <w:sz w:val="20"/>
                <w:szCs w:val="20"/>
                <w:lang w:val="en-US"/>
              </w:rPr>
            </w:pPr>
            <w:r w:rsidRPr="00422601">
              <w:rPr>
                <w:rFonts w:ascii="Tahoma" w:hAnsi="Tahoma" w:cs="Tahoma"/>
                <w:sz w:val="20"/>
                <w:szCs w:val="20"/>
                <w:lang w:val="en-US"/>
              </w:rPr>
              <w:t>Awarding certificates for participants*</w:t>
            </w:r>
          </w:p>
        </w:tc>
      </w:tr>
      <w:tr w:rsidR="00763865" w:rsidTr="006E3DB8">
        <w:trPr>
          <w:trHeight w:val="96"/>
        </w:trPr>
        <w:tc>
          <w:tcPr>
            <w:tcW w:w="1820" w:type="dxa"/>
          </w:tcPr>
          <w:p w:rsidR="00763865" w:rsidRDefault="00763865" w:rsidP="00D12F38">
            <w:pPr>
              <w:jc w:val="center"/>
              <w:rPr>
                <w:rFonts w:ascii="Tahoma" w:hAnsi="Tahoma" w:cs="Tahoma"/>
                <w:b/>
                <w:sz w:val="20"/>
                <w:szCs w:val="20"/>
                <w:lang w:val="en-US"/>
              </w:rPr>
            </w:pPr>
          </w:p>
        </w:tc>
        <w:tc>
          <w:tcPr>
            <w:tcW w:w="7643" w:type="dxa"/>
            <w:gridSpan w:val="2"/>
          </w:tcPr>
          <w:p w:rsidR="00763865" w:rsidRPr="000720CD" w:rsidRDefault="00763865" w:rsidP="00D12F38">
            <w:pPr>
              <w:rPr>
                <w:rFonts w:ascii="Tahoma" w:hAnsi="Tahoma" w:cs="Tahoma"/>
                <w:sz w:val="20"/>
                <w:szCs w:val="20"/>
                <w:lang w:val="en-US"/>
              </w:rPr>
            </w:pPr>
            <w:r w:rsidRPr="00422601">
              <w:rPr>
                <w:rFonts w:ascii="Tahoma" w:hAnsi="Tahoma" w:cs="Tahoma"/>
                <w:sz w:val="20"/>
                <w:szCs w:val="20"/>
                <w:lang w:val="en-US"/>
              </w:rPr>
              <w:t xml:space="preserve">* The target audience will be formed by the </w:t>
            </w:r>
            <w:r w:rsidRPr="00CD0070">
              <w:rPr>
                <w:rFonts w:ascii="Tahoma" w:eastAsia="Tahoma" w:hAnsi="Tahoma" w:cs="Tahoma"/>
                <w:sz w:val="20"/>
                <w:szCs w:val="20"/>
                <w:lang w:val="en-US"/>
              </w:rPr>
              <w:t xml:space="preserve">Volyn Institute of </w:t>
            </w:r>
            <w:r w:rsidRPr="00382742">
              <w:rPr>
                <w:rFonts w:ascii="Tahoma" w:eastAsia="Tahoma" w:hAnsi="Tahoma" w:cs="Tahoma"/>
                <w:sz w:val="20"/>
                <w:szCs w:val="20"/>
                <w:lang w:val="en-US"/>
              </w:rPr>
              <w:t>Pedagogical Training</w:t>
            </w:r>
            <w:r w:rsidRPr="00382742">
              <w:rPr>
                <w:rFonts w:ascii="Tahoma" w:hAnsi="Tahoma" w:cs="Tahoma"/>
                <w:sz w:val="20"/>
                <w:szCs w:val="20"/>
                <w:lang w:val="en-US"/>
              </w:rPr>
              <w:t xml:space="preserve"> (</w:t>
            </w:r>
            <w:hyperlink r:id="rId7" w:history="1">
              <w:r w:rsidRPr="00382742">
                <w:rPr>
                  <w:rStyle w:val="a3"/>
                  <w:rFonts w:ascii="Tahoma" w:hAnsi="Tahoma" w:cs="Tahoma"/>
                  <w:sz w:val="20"/>
                  <w:szCs w:val="20"/>
                </w:rPr>
                <w:t>http://vippo.org.ua/</w:t>
              </w:r>
            </w:hyperlink>
            <w:r w:rsidRPr="00382742">
              <w:rPr>
                <w:rFonts w:ascii="Tahoma" w:hAnsi="Tahoma" w:cs="Tahoma"/>
                <w:sz w:val="20"/>
                <w:szCs w:val="20"/>
                <w:lang w:val="en-US"/>
              </w:rPr>
              <w:t>) (see the Letter of Assurance above). Final certificates of the agreed form</w:t>
            </w:r>
            <w:r w:rsidRPr="00422601">
              <w:rPr>
                <w:rFonts w:ascii="Tahoma" w:hAnsi="Tahoma" w:cs="Tahoma"/>
                <w:sz w:val="20"/>
                <w:szCs w:val="20"/>
                <w:lang w:val="en-US"/>
              </w:rPr>
              <w:t xml:space="preserve"> (indicating the contribution of the Jean Monnet Chair Action) will be awarded.</w:t>
            </w:r>
          </w:p>
        </w:tc>
      </w:tr>
    </w:tbl>
    <w:p w:rsidR="0022648F" w:rsidRDefault="0022648F"/>
    <w:sectPr w:rsidR="0022648F" w:rsidSect="0035327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0E" w:rsidRDefault="0028030E" w:rsidP="006E3DB8">
      <w:r>
        <w:separator/>
      </w:r>
    </w:p>
  </w:endnote>
  <w:endnote w:type="continuationSeparator" w:id="0">
    <w:p w:rsidR="0028030E" w:rsidRDefault="0028030E" w:rsidP="006E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8" w:rsidRDefault="006E3DB8" w:rsidP="006E3DB8">
    <w:pPr>
      <w:autoSpaceDE w:val="0"/>
      <w:autoSpaceDN w:val="0"/>
      <w:adjustRightInd w:val="0"/>
      <w:jc w:val="center"/>
      <w:rPr>
        <w:rFonts w:ascii="Arial" w:hAnsi="Arial" w:cs="Arial"/>
        <w:i/>
        <w:sz w:val="16"/>
        <w:szCs w:val="16"/>
        <w:lang w:val="ru-RU"/>
      </w:rPr>
    </w:pPr>
  </w:p>
  <w:p w:rsidR="006E3DB8" w:rsidRPr="00103238" w:rsidRDefault="006E3DB8" w:rsidP="006E3DB8">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6E3DB8" w:rsidRPr="006E3DB8" w:rsidRDefault="006E3DB8">
    <w:pPr>
      <w:pStyle w:val="a8"/>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0E" w:rsidRDefault="0028030E" w:rsidP="006E3DB8">
      <w:r>
        <w:separator/>
      </w:r>
    </w:p>
  </w:footnote>
  <w:footnote w:type="continuationSeparator" w:id="0">
    <w:p w:rsidR="0028030E" w:rsidRDefault="0028030E" w:rsidP="006E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8" w:rsidRDefault="006E3DB8" w:rsidP="006E3DB8">
    <w:pPr>
      <w:pStyle w:val="a6"/>
      <w:tabs>
        <w:tab w:val="clear" w:pos="4677"/>
        <w:tab w:val="clear" w:pos="9355"/>
        <w:tab w:val="left" w:pos="8300"/>
      </w:tabs>
    </w:pPr>
    <w:r w:rsidRPr="006E3DB8">
      <w:drawing>
        <wp:anchor distT="0" distB="0" distL="114300" distR="114300" simplePos="0" relativeHeight="251659264" behindDoc="1" locked="0" layoutInCell="1" allowOverlap="1">
          <wp:simplePos x="0" y="0"/>
          <wp:positionH relativeFrom="column">
            <wp:posOffset>-22860</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3150" cy="533400"/>
                  </a:xfrm>
                  <a:prstGeom prst="rect">
                    <a:avLst/>
                  </a:prstGeom>
                  <a:noFill/>
                  <a:ln w="9525">
                    <a:noFill/>
                    <a:miter lim="800000"/>
                    <a:headEnd/>
                    <a:tailEnd/>
                  </a:ln>
                </pic:spPr>
              </pic:pic>
            </a:graphicData>
          </a:graphic>
        </wp:anchor>
      </w:drawing>
    </w:r>
    <w:r>
      <w:tab/>
    </w:r>
    <w:r w:rsidRPr="006E3DB8">
      <w:drawing>
        <wp:anchor distT="0" distB="0" distL="114300" distR="114300" simplePos="0" relativeHeight="251661312" behindDoc="1" locked="0" layoutInCell="1" allowOverlap="1">
          <wp:simplePos x="0" y="0"/>
          <wp:positionH relativeFrom="column">
            <wp:posOffset>5139690</wp:posOffset>
          </wp:positionH>
          <wp:positionV relativeFrom="paragraph">
            <wp:posOffset>-240030</wp:posOffset>
          </wp:positionV>
          <wp:extent cx="704850" cy="933450"/>
          <wp:effectExtent l="19050" t="0" r="0" b="0"/>
          <wp:wrapTight wrapText="bothSides">
            <wp:wrapPolygon edited="0">
              <wp:start x="-584" y="0"/>
              <wp:lineTo x="-584" y="21159"/>
              <wp:lineTo x="21600" y="21159"/>
              <wp:lineTo x="21600" y="0"/>
              <wp:lineTo x="-584" y="0"/>
            </wp:wrapPolygon>
          </wp:wrapTight>
          <wp:docPr id="5"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2"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AE"/>
    <w:multiLevelType w:val="hybridMultilevel"/>
    <w:tmpl w:val="96B62934"/>
    <w:lvl w:ilvl="0" w:tplc="C5DAE2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763865"/>
    <w:rsid w:val="0022648F"/>
    <w:rsid w:val="0028030E"/>
    <w:rsid w:val="00353272"/>
    <w:rsid w:val="006E3DB8"/>
    <w:rsid w:val="00763865"/>
    <w:rsid w:val="00E1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6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3865"/>
    <w:rPr>
      <w:rFonts w:cs="Times New Roman"/>
      <w:color w:val="0000FF"/>
      <w:u w:val="single"/>
    </w:rPr>
  </w:style>
  <w:style w:type="table" w:styleId="a4">
    <w:name w:val="Table Grid"/>
    <w:basedOn w:val="a1"/>
    <w:uiPriority w:val="59"/>
    <w:rsid w:val="00763865"/>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63865"/>
    <w:pPr>
      <w:ind w:left="720"/>
    </w:pPr>
  </w:style>
  <w:style w:type="paragraph" w:styleId="a6">
    <w:name w:val="header"/>
    <w:basedOn w:val="a"/>
    <w:link w:val="a7"/>
    <w:uiPriority w:val="99"/>
    <w:semiHidden/>
    <w:unhideWhenUsed/>
    <w:rsid w:val="006E3DB8"/>
    <w:pPr>
      <w:tabs>
        <w:tab w:val="center" w:pos="4677"/>
        <w:tab w:val="right" w:pos="9355"/>
      </w:tabs>
    </w:pPr>
  </w:style>
  <w:style w:type="character" w:customStyle="1" w:styleId="a7">
    <w:name w:val="Верхний колонтитул Знак"/>
    <w:basedOn w:val="a0"/>
    <w:link w:val="a6"/>
    <w:uiPriority w:val="99"/>
    <w:semiHidden/>
    <w:rsid w:val="006E3DB8"/>
    <w:rPr>
      <w:rFonts w:ascii="Times New Roman" w:eastAsia="Times New Roman" w:hAnsi="Times New Roman" w:cs="Times New Roman"/>
      <w:sz w:val="24"/>
      <w:szCs w:val="24"/>
      <w:lang w:val="en-GB" w:eastAsia="en-GB"/>
    </w:rPr>
  </w:style>
  <w:style w:type="paragraph" w:styleId="a8">
    <w:name w:val="footer"/>
    <w:basedOn w:val="a"/>
    <w:link w:val="a9"/>
    <w:uiPriority w:val="99"/>
    <w:unhideWhenUsed/>
    <w:rsid w:val="006E3DB8"/>
    <w:pPr>
      <w:tabs>
        <w:tab w:val="center" w:pos="4677"/>
        <w:tab w:val="right" w:pos="9355"/>
      </w:tabs>
    </w:pPr>
  </w:style>
  <w:style w:type="character" w:customStyle="1" w:styleId="a9">
    <w:name w:val="Нижний колонтитул Знак"/>
    <w:basedOn w:val="a0"/>
    <w:link w:val="a8"/>
    <w:uiPriority w:val="99"/>
    <w:rsid w:val="006E3DB8"/>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6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3865"/>
    <w:rPr>
      <w:rFonts w:cs="Times New Roman"/>
      <w:color w:val="0000FF"/>
      <w:u w:val="single"/>
    </w:rPr>
  </w:style>
  <w:style w:type="table" w:styleId="a4">
    <w:name w:val="Table Grid"/>
    <w:basedOn w:val="a1"/>
    <w:uiPriority w:val="59"/>
    <w:rsid w:val="0076386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63865"/>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ppo.org.u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Marta Sydoruk</cp:lastModifiedBy>
  <cp:revision>2</cp:revision>
  <dcterms:created xsi:type="dcterms:W3CDTF">2020-01-22T21:28:00Z</dcterms:created>
  <dcterms:modified xsi:type="dcterms:W3CDTF">2020-01-24T12:20:00Z</dcterms:modified>
</cp:coreProperties>
</file>