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D1" w:rsidRDefault="00D950D1">
      <w:pPr>
        <w:rPr>
          <w:lang w:val="ru-RU"/>
        </w:rPr>
      </w:pPr>
    </w:p>
    <w:p w:rsidR="00D950D1" w:rsidRDefault="00D950D1">
      <w:pPr>
        <w:rPr>
          <w:lang w:val="ru-RU"/>
        </w:rPr>
      </w:pPr>
    </w:p>
    <w:p w:rsidR="00D950D1" w:rsidRDefault="00D950D1">
      <w:pPr>
        <w:rPr>
          <w:lang w:val="ru-RU"/>
        </w:rPr>
      </w:pPr>
    </w:p>
    <w:tbl>
      <w:tblPr>
        <w:tblStyle w:val="a3"/>
        <w:tblW w:w="0" w:type="auto"/>
        <w:tblInd w:w="108" w:type="dxa"/>
        <w:tblLook w:val="04A0"/>
      </w:tblPr>
      <w:tblGrid>
        <w:gridCol w:w="1576"/>
        <w:gridCol w:w="748"/>
        <w:gridCol w:w="1442"/>
        <w:gridCol w:w="5697"/>
      </w:tblGrid>
      <w:tr w:rsidR="00A83E47" w:rsidTr="00D950D1">
        <w:tc>
          <w:tcPr>
            <w:tcW w:w="9463" w:type="dxa"/>
            <w:gridSpan w:val="4"/>
          </w:tcPr>
          <w:p w:rsidR="00A83E47" w:rsidRPr="00422601" w:rsidRDefault="00A83E47" w:rsidP="00D12F38">
            <w:pPr>
              <w:jc w:val="center"/>
              <w:rPr>
                <w:rFonts w:ascii="Tahoma" w:hAnsi="Tahoma" w:cs="Tahoma"/>
                <w:b/>
                <w:caps/>
                <w:sz w:val="20"/>
                <w:szCs w:val="20"/>
                <w:lang w:val="en-US"/>
              </w:rPr>
            </w:pPr>
            <w:r w:rsidRPr="00422601">
              <w:rPr>
                <w:rFonts w:ascii="Tahoma" w:hAnsi="Tahoma" w:cs="Tahoma"/>
                <w:b/>
                <w:caps/>
                <w:sz w:val="20"/>
                <w:szCs w:val="20"/>
                <w:lang w:val="en-US"/>
              </w:rPr>
              <w:t>EU Public Finance</w:t>
            </w:r>
          </w:p>
          <w:p w:rsidR="00A83E47" w:rsidRPr="00F160F2" w:rsidRDefault="00A83E47" w:rsidP="00D12F38">
            <w:pPr>
              <w:jc w:val="center"/>
              <w:rPr>
                <w:rFonts w:ascii="Tahoma" w:hAnsi="Tahoma" w:cs="Tahoma"/>
                <w:sz w:val="20"/>
                <w:szCs w:val="20"/>
                <w:lang w:val="en-US"/>
              </w:rPr>
            </w:pPr>
            <w:r w:rsidRPr="00422601">
              <w:rPr>
                <w:rFonts w:ascii="Tahoma" w:hAnsi="Tahoma" w:cs="Tahoma"/>
                <w:sz w:val="20"/>
                <w:szCs w:val="20"/>
                <w:lang w:val="en-US"/>
              </w:rPr>
              <w:t>(Course syllabus)</w:t>
            </w:r>
          </w:p>
        </w:tc>
      </w:tr>
      <w:tr w:rsidR="00A83E47" w:rsidTr="00D950D1">
        <w:tc>
          <w:tcPr>
            <w:tcW w:w="1576" w:type="dxa"/>
          </w:tcPr>
          <w:p w:rsidR="00A83E47" w:rsidRDefault="00A83E47" w:rsidP="00D12F38">
            <w:pPr>
              <w:rPr>
                <w:rFonts w:ascii="Tahoma" w:hAnsi="Tahoma" w:cs="Tahoma"/>
                <w:b/>
                <w:caps/>
                <w:sz w:val="20"/>
                <w:szCs w:val="20"/>
                <w:lang w:val="uk-UA"/>
              </w:rPr>
            </w:pPr>
            <w:r w:rsidRPr="00F160F2">
              <w:rPr>
                <w:rFonts w:ascii="Tahoma" w:hAnsi="Tahoma" w:cs="Tahoma"/>
                <w:b/>
                <w:sz w:val="20"/>
                <w:szCs w:val="20"/>
                <w:lang w:val="en-US"/>
              </w:rPr>
              <w:t>Instructor:</w:t>
            </w:r>
          </w:p>
        </w:tc>
        <w:tc>
          <w:tcPr>
            <w:tcW w:w="7887" w:type="dxa"/>
            <w:gridSpan w:val="3"/>
          </w:tcPr>
          <w:p w:rsidR="00A83E47" w:rsidRPr="0031481C" w:rsidRDefault="00A83E47" w:rsidP="00D12F38">
            <w:pPr>
              <w:rPr>
                <w:rFonts w:ascii="Tahoma" w:hAnsi="Tahoma" w:cs="Tahoma"/>
                <w:sz w:val="20"/>
                <w:szCs w:val="20"/>
              </w:rPr>
            </w:pPr>
            <w:r w:rsidRPr="00422601">
              <w:rPr>
                <w:rFonts w:ascii="Tahoma" w:hAnsi="Tahoma" w:cs="Tahoma"/>
                <w:sz w:val="20"/>
                <w:szCs w:val="20"/>
                <w:lang w:val="en-US"/>
              </w:rPr>
              <w:t>Andrii</w:t>
            </w:r>
            <w:r>
              <w:rPr>
                <w:rFonts w:ascii="Tahoma" w:hAnsi="Tahoma" w:cs="Tahoma"/>
                <w:sz w:val="20"/>
                <w:szCs w:val="20"/>
                <w:lang w:val="en-US"/>
              </w:rPr>
              <w:t xml:space="preserve"> </w:t>
            </w:r>
            <w:r w:rsidRPr="00422601">
              <w:rPr>
                <w:rFonts w:ascii="Tahoma" w:hAnsi="Tahoma" w:cs="Tahoma"/>
                <w:sz w:val="20"/>
                <w:szCs w:val="20"/>
                <w:lang w:val="en-US"/>
              </w:rPr>
              <w:t xml:space="preserve">Boiar, room 6, Building G, 28 Vynnychenka str., </w:t>
            </w:r>
            <w:hyperlink r:id="rId7" w:history="1">
              <w:r w:rsidRPr="00380BD6">
                <w:rPr>
                  <w:rStyle w:val="a4"/>
                  <w:rFonts w:ascii="Tahoma" w:hAnsi="Tahoma" w:cs="Tahoma"/>
                  <w:sz w:val="20"/>
                  <w:szCs w:val="20"/>
                </w:rPr>
                <w:t>Andrij.Boyar@eenu.edu.ua</w:t>
              </w:r>
            </w:hyperlink>
          </w:p>
        </w:tc>
      </w:tr>
      <w:tr w:rsidR="00A83E47" w:rsidTr="00D950D1">
        <w:tc>
          <w:tcPr>
            <w:tcW w:w="1576" w:type="dxa"/>
          </w:tcPr>
          <w:p w:rsidR="00A83E47" w:rsidRDefault="00A83E47" w:rsidP="00D12F38">
            <w:pPr>
              <w:rPr>
                <w:rFonts w:ascii="Tahoma" w:hAnsi="Tahoma" w:cs="Tahoma"/>
                <w:b/>
                <w:caps/>
                <w:sz w:val="20"/>
                <w:szCs w:val="20"/>
                <w:lang w:val="uk-UA"/>
              </w:rPr>
            </w:pPr>
            <w:r w:rsidRPr="00F160F2">
              <w:rPr>
                <w:rFonts w:ascii="Tahoma" w:hAnsi="Tahoma" w:cs="Tahoma"/>
                <w:b/>
                <w:sz w:val="20"/>
                <w:szCs w:val="20"/>
                <w:lang w:val="en-US"/>
              </w:rPr>
              <w:t>Course description</w:t>
            </w:r>
            <w:r w:rsidRPr="00F160F2">
              <w:rPr>
                <w:rFonts w:ascii="Tahoma" w:hAnsi="Tahoma" w:cs="Tahoma"/>
                <w:sz w:val="20"/>
                <w:szCs w:val="20"/>
                <w:lang w:val="en-US"/>
              </w:rPr>
              <w:t>:</w:t>
            </w:r>
          </w:p>
        </w:tc>
        <w:tc>
          <w:tcPr>
            <w:tcW w:w="7887" w:type="dxa"/>
            <w:gridSpan w:val="3"/>
          </w:tcPr>
          <w:p w:rsidR="00A83E47" w:rsidRPr="0031481C" w:rsidRDefault="00A83E47" w:rsidP="00D12F38">
            <w:pPr>
              <w:jc w:val="both"/>
              <w:rPr>
                <w:rFonts w:ascii="Tahoma" w:hAnsi="Tahoma" w:cs="Tahoma"/>
                <w:sz w:val="20"/>
                <w:szCs w:val="20"/>
                <w:lang w:val="en-US"/>
              </w:rPr>
            </w:pPr>
            <w:r w:rsidRPr="00422601">
              <w:rPr>
                <w:rFonts w:ascii="Tahoma" w:hAnsi="Tahoma" w:cs="Tahoma"/>
                <w:sz w:val="20"/>
                <w:szCs w:val="20"/>
                <w:lang w:val="en-US"/>
              </w:rPr>
              <w:t>the course develops basic principles and mechanisms that govern the EU public finance sector through examination of four sides of the EU budgetary system: budgetary law and institutions, revenue, expenditure and budgetary process. The course provides an overview of the history of the EU finance, outlines institutional and legislative framework of decision-making in the sector, investigates revenue sources and programmes and funds of EU established for the period 2014–2020.  The EU annual budget for current year will serve as the main case-study of the course. As a final outcome of the course we will try to reveal linkages between budgetary systems of the EU and its Member-States and extrapolate that to possible EU membership of Ukraine.</w:t>
            </w:r>
            <w:r w:rsidRPr="00F160F2">
              <w:rPr>
                <w:rFonts w:ascii="Tahoma" w:hAnsi="Tahoma" w:cs="Tahoma"/>
                <w:sz w:val="20"/>
                <w:szCs w:val="20"/>
                <w:lang w:val="en-US"/>
              </w:rPr>
              <w:t xml:space="preserve">      </w:t>
            </w:r>
          </w:p>
        </w:tc>
      </w:tr>
      <w:tr w:rsidR="00A83E47" w:rsidTr="00D950D1">
        <w:tc>
          <w:tcPr>
            <w:tcW w:w="1576" w:type="dxa"/>
          </w:tcPr>
          <w:p w:rsidR="00A83E47" w:rsidRPr="005C62B7" w:rsidRDefault="00A83E47" w:rsidP="00D12F38">
            <w:pPr>
              <w:rPr>
                <w:rFonts w:ascii="Tahoma" w:hAnsi="Tahoma" w:cs="Tahoma"/>
                <w:b/>
                <w:caps/>
                <w:sz w:val="20"/>
                <w:szCs w:val="20"/>
                <w:lang w:val="en-US"/>
              </w:rPr>
            </w:pPr>
            <w:r w:rsidRPr="00422601">
              <w:rPr>
                <w:rFonts w:ascii="Tahoma" w:hAnsi="Tahoma" w:cs="Tahoma"/>
                <w:b/>
                <w:sz w:val="20"/>
                <w:szCs w:val="20"/>
                <w:lang w:val="en-US"/>
              </w:rPr>
              <w:t>Course reference material</w:t>
            </w:r>
            <w:r w:rsidRPr="00422601">
              <w:rPr>
                <w:rFonts w:ascii="Tahoma" w:hAnsi="Tahoma" w:cs="Tahoma"/>
                <w:sz w:val="20"/>
                <w:szCs w:val="20"/>
                <w:lang w:val="en-US"/>
              </w:rPr>
              <w:t xml:space="preserve"> </w:t>
            </w:r>
          </w:p>
        </w:tc>
        <w:tc>
          <w:tcPr>
            <w:tcW w:w="7887" w:type="dxa"/>
            <w:gridSpan w:val="3"/>
          </w:tcPr>
          <w:p w:rsidR="00A83E47" w:rsidRPr="005C62B7" w:rsidRDefault="00A83E47" w:rsidP="00D12F38">
            <w:pPr>
              <w:jc w:val="both"/>
              <w:rPr>
                <w:rFonts w:ascii="Tahoma" w:hAnsi="Tahoma" w:cs="Tahoma"/>
                <w:iCs/>
                <w:sz w:val="20"/>
                <w:szCs w:val="20"/>
                <w:lang w:val="en-US"/>
              </w:rPr>
            </w:pPr>
            <w:r w:rsidRPr="00422601">
              <w:rPr>
                <w:rFonts w:ascii="Tahoma" w:hAnsi="Tahoma" w:cs="Tahoma"/>
                <w:sz w:val="20"/>
                <w:szCs w:val="20"/>
                <w:lang w:val="en-US"/>
              </w:rPr>
              <w:t xml:space="preserve"> (one of the two to be selected by a student): European Union</w:t>
            </w:r>
            <w:r w:rsidRPr="00422601">
              <w:rPr>
                <w:rFonts w:ascii="Tahoma" w:hAnsi="Tahoma" w:cs="Tahoma"/>
                <w:bCs/>
                <w:sz w:val="20"/>
                <w:szCs w:val="20"/>
                <w:lang w:val="en-US"/>
              </w:rPr>
              <w:t xml:space="preserve"> (2014). </w:t>
            </w:r>
            <w:r w:rsidRPr="00422601">
              <w:rPr>
                <w:rFonts w:ascii="Tahoma" w:hAnsi="Tahoma" w:cs="Tahoma"/>
                <w:bCs/>
                <w:i/>
                <w:sz w:val="20"/>
                <w:szCs w:val="20"/>
                <w:lang w:val="en-US"/>
              </w:rPr>
              <w:t xml:space="preserve">European Union </w:t>
            </w:r>
            <w:r w:rsidRPr="00422601">
              <w:rPr>
                <w:rFonts w:ascii="Tahoma" w:hAnsi="Tahoma" w:cs="Tahoma"/>
                <w:i/>
                <w:sz w:val="20"/>
                <w:szCs w:val="20"/>
                <w:lang w:val="en-US"/>
              </w:rPr>
              <w:t>Public Finance.</w:t>
            </w:r>
            <w:r>
              <w:rPr>
                <w:rFonts w:ascii="Tahoma" w:hAnsi="Tahoma" w:cs="Tahoma"/>
                <w:i/>
                <w:sz w:val="20"/>
                <w:szCs w:val="20"/>
                <w:lang w:val="en-US"/>
              </w:rPr>
              <w:t xml:space="preserve"> </w:t>
            </w:r>
            <w:r w:rsidRPr="00422601">
              <w:rPr>
                <w:rFonts w:ascii="Tahoma" w:hAnsi="Tahoma" w:cs="Tahoma"/>
                <w:sz w:val="20"/>
                <w:szCs w:val="20"/>
                <w:lang w:val="en-US"/>
              </w:rPr>
              <w:t xml:space="preserve">Fifth edition. Luxembourg: Publications Office of the European Union, 360 p. (available at: </w:t>
            </w:r>
            <w:hyperlink r:id="rId8" w:history="1">
              <w:r w:rsidRPr="00422601">
                <w:rPr>
                  <w:rStyle w:val="a4"/>
                  <w:rFonts w:ascii="Tahoma" w:hAnsi="Tahoma" w:cs="Tahoma"/>
                  <w:sz w:val="20"/>
                  <w:szCs w:val="20"/>
                  <w:lang w:val="en-US"/>
                </w:rPr>
                <w:t>http://bookshop.europa.eu</w:t>
              </w:r>
            </w:hyperlink>
            <w:r w:rsidRPr="00422601">
              <w:rPr>
                <w:rFonts w:ascii="Tahoma" w:hAnsi="Tahoma" w:cs="Tahoma"/>
                <w:sz w:val="20"/>
                <w:szCs w:val="20"/>
                <w:lang w:val="en-US"/>
              </w:rPr>
              <w:t xml:space="preserve">) (in English); </w:t>
            </w:r>
            <w:r w:rsidRPr="00422601">
              <w:rPr>
                <w:rFonts w:ascii="Tahoma" w:hAnsi="Tahoma" w:cs="Tahoma"/>
                <w:iCs/>
                <w:sz w:val="20"/>
                <w:szCs w:val="20"/>
                <w:lang w:val="en-US"/>
              </w:rPr>
              <w:t>Boiar</w:t>
            </w:r>
            <w:r w:rsidRPr="00422601">
              <w:rPr>
                <w:rFonts w:ascii="Tahoma" w:hAnsi="Tahoma" w:cs="Tahoma"/>
                <w:iCs/>
                <w:sz w:val="20"/>
                <w:szCs w:val="20"/>
                <w:lang w:val="uk-UA"/>
              </w:rPr>
              <w:t xml:space="preserve">, </w:t>
            </w:r>
            <w:r w:rsidRPr="00422601">
              <w:rPr>
                <w:rFonts w:ascii="Tahoma" w:hAnsi="Tahoma" w:cs="Tahoma"/>
                <w:iCs/>
                <w:sz w:val="20"/>
                <w:szCs w:val="20"/>
                <w:lang w:val="en-US"/>
              </w:rPr>
              <w:t>A</w:t>
            </w:r>
            <w:r w:rsidRPr="00422601">
              <w:rPr>
                <w:rFonts w:ascii="Tahoma" w:hAnsi="Tahoma" w:cs="Tahoma"/>
                <w:iCs/>
                <w:sz w:val="20"/>
                <w:szCs w:val="20"/>
                <w:lang w:val="uk-UA"/>
              </w:rPr>
              <w:t xml:space="preserve">. </w:t>
            </w:r>
            <w:r w:rsidRPr="00422601">
              <w:rPr>
                <w:rFonts w:ascii="Tahoma" w:hAnsi="Tahoma" w:cs="Tahoma"/>
                <w:iCs/>
                <w:sz w:val="20"/>
                <w:szCs w:val="20"/>
                <w:lang w:val="en-US"/>
              </w:rPr>
              <w:t>O</w:t>
            </w:r>
            <w:r w:rsidRPr="00422601">
              <w:rPr>
                <w:rFonts w:ascii="Tahoma" w:hAnsi="Tahoma" w:cs="Tahoma"/>
                <w:iCs/>
                <w:sz w:val="20"/>
                <w:szCs w:val="20"/>
                <w:lang w:val="uk-UA"/>
              </w:rPr>
              <w:t xml:space="preserve">. (2012). </w:t>
            </w:r>
            <w:r w:rsidRPr="00422601">
              <w:rPr>
                <w:rFonts w:ascii="Tahoma" w:hAnsi="Tahoma" w:cs="Tahoma"/>
                <w:i/>
                <w:sz w:val="20"/>
                <w:szCs w:val="20"/>
                <w:lang w:val="en-US"/>
              </w:rPr>
              <w:t>Budgetary</w:t>
            </w:r>
            <w:r>
              <w:rPr>
                <w:rFonts w:ascii="Tahoma" w:hAnsi="Tahoma" w:cs="Tahoma"/>
                <w:i/>
                <w:sz w:val="20"/>
                <w:szCs w:val="20"/>
                <w:lang w:val="en-US"/>
              </w:rPr>
              <w:t xml:space="preserve">  </w:t>
            </w:r>
            <w:r w:rsidRPr="00422601">
              <w:rPr>
                <w:rFonts w:ascii="Tahoma" w:hAnsi="Tahoma" w:cs="Tahoma"/>
                <w:i/>
                <w:sz w:val="20"/>
                <w:szCs w:val="20"/>
                <w:lang w:val="en-US"/>
              </w:rPr>
              <w:t>Process</w:t>
            </w:r>
            <w:r>
              <w:rPr>
                <w:rFonts w:ascii="Tahoma" w:hAnsi="Tahoma" w:cs="Tahoma"/>
                <w:i/>
                <w:sz w:val="20"/>
                <w:szCs w:val="20"/>
                <w:lang w:val="en-US"/>
              </w:rPr>
              <w:t xml:space="preserve"> </w:t>
            </w:r>
            <w:r w:rsidRPr="00422601">
              <w:rPr>
                <w:rFonts w:ascii="Tahoma" w:hAnsi="Tahoma" w:cs="Tahoma"/>
                <w:i/>
                <w:sz w:val="20"/>
                <w:szCs w:val="20"/>
                <w:lang w:val="en-US"/>
              </w:rPr>
              <w:t>in</w:t>
            </w:r>
            <w:r>
              <w:rPr>
                <w:rFonts w:ascii="Tahoma" w:hAnsi="Tahoma" w:cs="Tahoma"/>
                <w:i/>
                <w:sz w:val="20"/>
                <w:szCs w:val="20"/>
                <w:lang w:val="en-US"/>
              </w:rPr>
              <w:t xml:space="preserve"> </w:t>
            </w:r>
            <w:r w:rsidRPr="00422601">
              <w:rPr>
                <w:rFonts w:ascii="Tahoma" w:hAnsi="Tahoma" w:cs="Tahoma"/>
                <w:i/>
                <w:sz w:val="20"/>
                <w:szCs w:val="20"/>
                <w:lang w:val="en-US"/>
              </w:rPr>
              <w:t>the</w:t>
            </w:r>
            <w:r>
              <w:rPr>
                <w:rFonts w:ascii="Tahoma" w:hAnsi="Tahoma" w:cs="Tahoma"/>
                <w:i/>
                <w:sz w:val="20"/>
                <w:szCs w:val="20"/>
                <w:lang w:val="en-US"/>
              </w:rPr>
              <w:t xml:space="preserve"> </w:t>
            </w:r>
            <w:r w:rsidRPr="00422601">
              <w:rPr>
                <w:rFonts w:ascii="Tahoma" w:hAnsi="Tahoma" w:cs="Tahoma"/>
                <w:i/>
                <w:sz w:val="20"/>
                <w:szCs w:val="20"/>
                <w:lang w:val="en-US"/>
              </w:rPr>
              <w:t>European</w:t>
            </w:r>
            <w:r>
              <w:rPr>
                <w:rFonts w:ascii="Tahoma" w:hAnsi="Tahoma" w:cs="Tahoma"/>
                <w:i/>
                <w:sz w:val="20"/>
                <w:szCs w:val="20"/>
                <w:lang w:val="en-US"/>
              </w:rPr>
              <w:t xml:space="preserve"> </w:t>
            </w:r>
            <w:r w:rsidRPr="00422601">
              <w:rPr>
                <w:rFonts w:ascii="Tahoma" w:hAnsi="Tahoma" w:cs="Tahoma"/>
                <w:i/>
                <w:sz w:val="20"/>
                <w:szCs w:val="20"/>
                <w:lang w:val="en-US"/>
              </w:rPr>
              <w:t>Union</w:t>
            </w:r>
            <w:r w:rsidRPr="00422601">
              <w:rPr>
                <w:rFonts w:ascii="Tahoma" w:hAnsi="Tahoma" w:cs="Tahoma"/>
                <w:iCs/>
                <w:sz w:val="20"/>
                <w:szCs w:val="20"/>
                <w:lang w:val="uk-UA"/>
              </w:rPr>
              <w:t>.</w:t>
            </w:r>
            <w:r>
              <w:rPr>
                <w:rFonts w:ascii="Tahoma" w:hAnsi="Tahoma" w:cs="Tahoma"/>
                <w:iCs/>
                <w:sz w:val="20"/>
                <w:szCs w:val="20"/>
                <w:lang w:val="en-US"/>
              </w:rPr>
              <w:t xml:space="preserve"> </w:t>
            </w:r>
            <w:r w:rsidRPr="00422601">
              <w:rPr>
                <w:rFonts w:ascii="Tahoma" w:hAnsi="Tahoma" w:cs="Tahoma"/>
                <w:iCs/>
                <w:sz w:val="20"/>
                <w:szCs w:val="20"/>
                <w:lang w:val="en-US"/>
              </w:rPr>
              <w:t>Lutsk</w:t>
            </w:r>
            <w:r w:rsidRPr="00422601">
              <w:rPr>
                <w:rFonts w:ascii="Tahoma" w:hAnsi="Tahoma" w:cs="Tahoma"/>
                <w:iCs/>
                <w:sz w:val="20"/>
                <w:szCs w:val="20"/>
                <w:lang w:val="uk-UA"/>
              </w:rPr>
              <w:t xml:space="preserve">: </w:t>
            </w:r>
            <w:r w:rsidRPr="00422601">
              <w:rPr>
                <w:rFonts w:ascii="Tahoma" w:hAnsi="Tahoma" w:cs="Tahoma"/>
                <w:iCs/>
                <w:sz w:val="20"/>
                <w:szCs w:val="20"/>
                <w:lang w:val="en-US"/>
              </w:rPr>
              <w:t>Vezha</w:t>
            </w:r>
            <w:r w:rsidRPr="00422601">
              <w:rPr>
                <w:rFonts w:ascii="Tahoma" w:hAnsi="Tahoma" w:cs="Tahoma"/>
                <w:iCs/>
                <w:sz w:val="20"/>
                <w:szCs w:val="20"/>
                <w:lang w:val="uk-UA"/>
              </w:rPr>
              <w:t>-</w:t>
            </w:r>
            <w:r w:rsidRPr="00422601">
              <w:rPr>
                <w:rFonts w:ascii="Tahoma" w:hAnsi="Tahoma" w:cs="Tahoma"/>
                <w:iCs/>
                <w:sz w:val="20"/>
                <w:szCs w:val="20"/>
                <w:lang w:val="en-US"/>
              </w:rPr>
              <w:t>Druk</w:t>
            </w:r>
            <w:r w:rsidRPr="00422601">
              <w:rPr>
                <w:rFonts w:ascii="Tahoma" w:hAnsi="Tahoma" w:cs="Tahoma"/>
                <w:iCs/>
                <w:sz w:val="20"/>
                <w:szCs w:val="20"/>
                <w:lang w:val="uk-UA"/>
              </w:rPr>
              <w:t xml:space="preserve">, 524 </w:t>
            </w:r>
            <w:r w:rsidRPr="00422601">
              <w:rPr>
                <w:rFonts w:ascii="Tahoma" w:hAnsi="Tahoma" w:cs="Tahoma"/>
                <w:iCs/>
                <w:sz w:val="20"/>
                <w:szCs w:val="20"/>
                <w:lang w:val="en-US"/>
              </w:rPr>
              <w:t>p</w:t>
            </w:r>
            <w:r w:rsidRPr="00422601">
              <w:rPr>
                <w:rFonts w:ascii="Tahoma" w:hAnsi="Tahoma" w:cs="Tahoma"/>
                <w:iCs/>
                <w:sz w:val="20"/>
                <w:szCs w:val="20"/>
                <w:lang w:val="uk-UA"/>
              </w:rPr>
              <w:t xml:space="preserve">. </w:t>
            </w:r>
            <w:r w:rsidRPr="00422601">
              <w:rPr>
                <w:rFonts w:ascii="Tahoma" w:hAnsi="Tahoma" w:cs="Tahoma"/>
                <w:iCs/>
                <w:sz w:val="20"/>
                <w:szCs w:val="20"/>
                <w:lang w:val="en-US"/>
              </w:rPr>
              <w:t xml:space="preserve">(available at: </w:t>
            </w:r>
            <w:hyperlink r:id="rId9" w:history="1">
              <w:r w:rsidRPr="00422601">
                <w:rPr>
                  <w:rStyle w:val="a4"/>
                  <w:rFonts w:ascii="Tahoma" w:hAnsi="Tahoma" w:cs="Tahoma"/>
                  <w:iCs/>
                  <w:sz w:val="20"/>
                  <w:szCs w:val="20"/>
                  <w:lang w:val="en-US"/>
                </w:rPr>
                <w:t>https://www.researchgate.net/</w:t>
              </w:r>
            </w:hyperlink>
            <w:r w:rsidRPr="00422601">
              <w:rPr>
                <w:rFonts w:ascii="Tahoma" w:hAnsi="Tahoma" w:cs="Tahoma"/>
                <w:iCs/>
                <w:sz w:val="20"/>
                <w:szCs w:val="20"/>
                <w:lang w:val="en-US"/>
              </w:rPr>
              <w:t>) (in Ukrainian)</w:t>
            </w:r>
          </w:p>
        </w:tc>
      </w:tr>
      <w:tr w:rsidR="00A83E47" w:rsidTr="00D950D1">
        <w:tc>
          <w:tcPr>
            <w:tcW w:w="1576" w:type="dxa"/>
          </w:tcPr>
          <w:p w:rsidR="00A83E47" w:rsidRDefault="00A83E47" w:rsidP="00D12F38">
            <w:pPr>
              <w:rPr>
                <w:rFonts w:ascii="Tahoma" w:hAnsi="Tahoma" w:cs="Tahoma"/>
                <w:b/>
                <w:caps/>
                <w:sz w:val="20"/>
                <w:szCs w:val="20"/>
                <w:lang w:val="uk-UA"/>
              </w:rPr>
            </w:pPr>
            <w:r w:rsidRPr="00F160F2">
              <w:rPr>
                <w:rFonts w:ascii="Tahoma" w:hAnsi="Tahoma" w:cs="Tahoma"/>
                <w:b/>
                <w:sz w:val="20"/>
                <w:szCs w:val="20"/>
                <w:lang w:val="en-US"/>
              </w:rPr>
              <w:t>Prerequisites:</w:t>
            </w:r>
          </w:p>
        </w:tc>
        <w:tc>
          <w:tcPr>
            <w:tcW w:w="7887" w:type="dxa"/>
            <w:gridSpan w:val="3"/>
          </w:tcPr>
          <w:p w:rsidR="00A83E47" w:rsidRPr="005C62B7" w:rsidRDefault="00A83E47" w:rsidP="00D12F38">
            <w:pPr>
              <w:rPr>
                <w:rFonts w:ascii="Tahoma" w:hAnsi="Tahoma" w:cs="Tahoma"/>
                <w:sz w:val="20"/>
                <w:szCs w:val="20"/>
                <w:lang w:val="en-US"/>
              </w:rPr>
            </w:pPr>
            <w:r w:rsidRPr="00422601">
              <w:rPr>
                <w:rFonts w:ascii="Tahoma" w:hAnsi="Tahoma" w:cs="Tahoma"/>
                <w:sz w:val="20"/>
                <w:szCs w:val="20"/>
                <w:lang w:val="en-US"/>
              </w:rPr>
              <w:t>general knowledge of institutional arrangements in EU and of public finance of a state.</w:t>
            </w:r>
          </w:p>
        </w:tc>
      </w:tr>
      <w:tr w:rsidR="00A83E47" w:rsidTr="00D950D1">
        <w:tc>
          <w:tcPr>
            <w:tcW w:w="1576" w:type="dxa"/>
          </w:tcPr>
          <w:p w:rsidR="00A83E47" w:rsidRDefault="00A83E47" w:rsidP="00D12F38">
            <w:pPr>
              <w:rPr>
                <w:rFonts w:ascii="Tahoma" w:hAnsi="Tahoma" w:cs="Tahoma"/>
                <w:b/>
                <w:caps/>
                <w:sz w:val="20"/>
                <w:szCs w:val="20"/>
                <w:lang w:val="uk-UA"/>
              </w:rPr>
            </w:pPr>
            <w:r w:rsidRPr="00F160F2">
              <w:rPr>
                <w:rFonts w:ascii="Tahoma" w:hAnsi="Tahoma" w:cs="Tahoma"/>
                <w:b/>
                <w:sz w:val="20"/>
                <w:szCs w:val="20"/>
                <w:lang w:val="en-US"/>
              </w:rPr>
              <w:t>Grading policy:</w:t>
            </w:r>
          </w:p>
        </w:tc>
        <w:tc>
          <w:tcPr>
            <w:tcW w:w="7887" w:type="dxa"/>
            <w:gridSpan w:val="3"/>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letter grades determined from:</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participation in class discussion – 20 %;</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annotations of assigned readings – 20 %;</w:t>
            </w:r>
          </w:p>
          <w:p w:rsidR="00A83E47" w:rsidRPr="0031481C"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final examination – 60 %.</w:t>
            </w:r>
          </w:p>
        </w:tc>
      </w:tr>
      <w:tr w:rsidR="00A83E47" w:rsidTr="00D950D1">
        <w:tc>
          <w:tcPr>
            <w:tcW w:w="1576" w:type="dxa"/>
          </w:tcPr>
          <w:p w:rsidR="00A83E47" w:rsidRDefault="00A83E47" w:rsidP="00D12F38">
            <w:pPr>
              <w:rPr>
                <w:rFonts w:ascii="Tahoma" w:hAnsi="Tahoma" w:cs="Tahoma"/>
                <w:b/>
                <w:caps/>
                <w:sz w:val="20"/>
                <w:szCs w:val="20"/>
                <w:lang w:val="uk-UA"/>
              </w:rPr>
            </w:pPr>
            <w:r w:rsidRPr="00F160F2">
              <w:rPr>
                <w:rFonts w:ascii="Tahoma" w:hAnsi="Tahoma" w:cs="Tahoma"/>
                <w:b/>
                <w:sz w:val="20"/>
                <w:szCs w:val="20"/>
                <w:lang w:val="en-US"/>
              </w:rPr>
              <w:t>Class format:</w:t>
            </w:r>
          </w:p>
        </w:tc>
        <w:tc>
          <w:tcPr>
            <w:tcW w:w="7887" w:type="dxa"/>
            <w:gridSpan w:val="3"/>
          </w:tcPr>
          <w:p w:rsidR="00A83E47" w:rsidRPr="005C62B7" w:rsidRDefault="00A83E47" w:rsidP="00D12F38">
            <w:pPr>
              <w:jc w:val="both"/>
              <w:rPr>
                <w:rFonts w:ascii="Tahoma" w:hAnsi="Tahoma" w:cs="Tahoma"/>
                <w:sz w:val="20"/>
                <w:szCs w:val="20"/>
                <w:lang w:val="en-US"/>
              </w:rPr>
            </w:pPr>
            <w:r w:rsidRPr="00422601">
              <w:rPr>
                <w:rFonts w:ascii="Tahoma" w:hAnsi="Tahoma" w:cs="Tahoma"/>
                <w:sz w:val="20"/>
                <w:szCs w:val="20"/>
                <w:lang w:val="en-US"/>
              </w:rPr>
              <w:t xml:space="preserve">the course will be divided into </w:t>
            </w:r>
            <w:r>
              <w:rPr>
                <w:rFonts w:ascii="Tahoma" w:hAnsi="Tahoma" w:cs="Tahoma"/>
                <w:sz w:val="20"/>
                <w:szCs w:val="20"/>
                <w:lang w:val="en-US"/>
              </w:rPr>
              <w:t>7 thematic</w:t>
            </w:r>
            <w:r w:rsidRPr="00422601">
              <w:rPr>
                <w:rFonts w:ascii="Tahoma" w:hAnsi="Tahoma" w:cs="Tahoma"/>
                <w:sz w:val="20"/>
                <w:szCs w:val="20"/>
                <w:lang w:val="en-US"/>
              </w:rPr>
              <w:t xml:space="preserve"> sessions each consisting of </w:t>
            </w:r>
            <w:r>
              <w:rPr>
                <w:rFonts w:ascii="Tahoma" w:hAnsi="Tahoma" w:cs="Tahoma"/>
                <w:sz w:val="20"/>
                <w:szCs w:val="20"/>
                <w:lang w:val="en-US"/>
              </w:rPr>
              <w:t>two</w:t>
            </w:r>
            <w:r w:rsidRPr="00422601">
              <w:rPr>
                <w:rFonts w:ascii="Tahoma" w:hAnsi="Tahoma" w:cs="Tahoma"/>
                <w:sz w:val="20"/>
                <w:szCs w:val="20"/>
                <w:lang w:val="en-US"/>
              </w:rPr>
              <w:t xml:space="preserve"> lecture</w:t>
            </w:r>
            <w:r>
              <w:rPr>
                <w:rFonts w:ascii="Tahoma" w:hAnsi="Tahoma" w:cs="Tahoma"/>
                <w:sz w:val="20"/>
                <w:szCs w:val="20"/>
                <w:lang w:val="en-US"/>
              </w:rPr>
              <w:t>s</w:t>
            </w:r>
            <w:r w:rsidRPr="00422601">
              <w:rPr>
                <w:rFonts w:ascii="Tahoma" w:hAnsi="Tahoma" w:cs="Tahoma"/>
                <w:sz w:val="20"/>
                <w:szCs w:val="20"/>
                <w:lang w:val="en-US"/>
              </w:rPr>
              <w:t xml:space="preserve"> and a successive seminar. There will be one session with a guest speaker – an expert in EU funding. The final examination will be held in computer-testing format.</w:t>
            </w:r>
          </w:p>
        </w:tc>
      </w:tr>
      <w:tr w:rsidR="00A83E47" w:rsidTr="00D950D1">
        <w:tc>
          <w:tcPr>
            <w:tcW w:w="1576" w:type="dxa"/>
          </w:tcPr>
          <w:p w:rsidR="00A83E47" w:rsidRPr="00F160F2" w:rsidRDefault="00A83E47" w:rsidP="00D12F38">
            <w:pPr>
              <w:rPr>
                <w:rFonts w:ascii="Tahoma" w:hAnsi="Tahoma" w:cs="Tahoma"/>
                <w:b/>
                <w:sz w:val="20"/>
                <w:szCs w:val="20"/>
                <w:lang w:val="en-US"/>
              </w:rPr>
            </w:pPr>
            <w:r w:rsidRPr="00422601">
              <w:rPr>
                <w:rFonts w:ascii="Tahoma" w:hAnsi="Tahoma" w:cs="Tahoma"/>
                <w:b/>
                <w:sz w:val="20"/>
                <w:szCs w:val="20"/>
                <w:lang w:val="en-US"/>
              </w:rPr>
              <w:t>Readings:</w:t>
            </w:r>
          </w:p>
        </w:tc>
        <w:tc>
          <w:tcPr>
            <w:tcW w:w="7887" w:type="dxa"/>
            <w:gridSpan w:val="3"/>
          </w:tcPr>
          <w:p w:rsidR="00A83E47" w:rsidRPr="00422601" w:rsidRDefault="00A83E47" w:rsidP="00D12F38">
            <w:pPr>
              <w:jc w:val="both"/>
              <w:rPr>
                <w:rFonts w:ascii="Tahoma" w:hAnsi="Tahoma" w:cs="Tahoma"/>
                <w:sz w:val="20"/>
                <w:szCs w:val="20"/>
                <w:lang w:val="en-US"/>
              </w:rPr>
            </w:pPr>
            <w:r w:rsidRPr="00422601">
              <w:rPr>
                <w:rFonts w:ascii="Tahoma" w:hAnsi="Tahoma" w:cs="Tahoma"/>
                <w:sz w:val="20"/>
                <w:szCs w:val="20"/>
                <w:lang w:val="en-US"/>
              </w:rPr>
              <w:t>assigned from the list below. There will be no more than two readings per session (beyond the reference material). Assignments will be made for written evaluations of some of these readings.</w:t>
            </w:r>
          </w:p>
        </w:tc>
      </w:tr>
      <w:tr w:rsidR="00A83E47" w:rsidTr="00D950D1">
        <w:tc>
          <w:tcPr>
            <w:tcW w:w="1576" w:type="dxa"/>
            <w:vMerge w:val="restart"/>
          </w:tcPr>
          <w:p w:rsidR="00A83E47" w:rsidRPr="00422601" w:rsidRDefault="00A83E47" w:rsidP="00D12F38">
            <w:pPr>
              <w:rPr>
                <w:rFonts w:ascii="Tahoma" w:hAnsi="Tahoma" w:cs="Tahoma"/>
                <w:b/>
                <w:sz w:val="20"/>
                <w:szCs w:val="20"/>
                <w:lang w:val="en-US"/>
              </w:rPr>
            </w:pPr>
            <w:r w:rsidRPr="00422601">
              <w:rPr>
                <w:rFonts w:ascii="Tahoma" w:hAnsi="Tahoma" w:cs="Tahoma"/>
                <w:b/>
                <w:sz w:val="20"/>
                <w:szCs w:val="20"/>
                <w:lang w:val="en-US"/>
              </w:rPr>
              <w:t>Sessions:</w:t>
            </w:r>
          </w:p>
          <w:p w:rsidR="00A83E47" w:rsidRDefault="00A83E47" w:rsidP="00D12F38">
            <w:pPr>
              <w:rPr>
                <w:rFonts w:ascii="Tahoma" w:hAnsi="Tahoma" w:cs="Tahoma"/>
                <w:b/>
                <w:caps/>
                <w:sz w:val="20"/>
                <w:szCs w:val="20"/>
                <w:lang w:val="uk-UA"/>
              </w:rPr>
            </w:pPr>
          </w:p>
        </w:tc>
        <w:tc>
          <w:tcPr>
            <w:tcW w:w="749" w:type="dxa"/>
          </w:tcPr>
          <w:p w:rsidR="00A83E47" w:rsidRPr="0064741B" w:rsidRDefault="00A83E47" w:rsidP="00D12F38">
            <w:pPr>
              <w:jc w:val="center"/>
              <w:rPr>
                <w:rFonts w:ascii="Tahoma" w:hAnsi="Tahoma" w:cs="Tahoma"/>
                <w:sz w:val="20"/>
                <w:szCs w:val="20"/>
                <w:lang w:val="en-US"/>
              </w:rPr>
            </w:pPr>
            <w:r w:rsidRPr="0064741B">
              <w:rPr>
                <w:rFonts w:ascii="Tahoma" w:hAnsi="Tahoma" w:cs="Tahoma"/>
                <w:sz w:val="20"/>
                <w:szCs w:val="20"/>
                <w:lang w:val="en-US"/>
              </w:rPr>
              <w:t>#</w:t>
            </w:r>
          </w:p>
        </w:tc>
        <w:tc>
          <w:tcPr>
            <w:tcW w:w="1415" w:type="dxa"/>
          </w:tcPr>
          <w:p w:rsidR="00A83E47" w:rsidRPr="0064741B" w:rsidRDefault="00A83E47" w:rsidP="00D12F38">
            <w:pPr>
              <w:jc w:val="center"/>
              <w:rPr>
                <w:rFonts w:ascii="Tahoma" w:hAnsi="Tahoma" w:cs="Tahoma"/>
                <w:sz w:val="20"/>
                <w:szCs w:val="20"/>
                <w:lang w:val="en-US"/>
              </w:rPr>
            </w:pPr>
            <w:r>
              <w:rPr>
                <w:rFonts w:ascii="Tahoma" w:hAnsi="Tahoma" w:cs="Tahoma"/>
                <w:sz w:val="20"/>
                <w:szCs w:val="20"/>
                <w:lang w:val="uk-UA"/>
              </w:rPr>
              <w:t>H</w:t>
            </w:r>
            <w:r w:rsidRPr="0064741B">
              <w:rPr>
                <w:rFonts w:ascii="Tahoma" w:hAnsi="Tahoma" w:cs="Tahoma"/>
                <w:sz w:val="20"/>
                <w:szCs w:val="20"/>
                <w:lang w:val="en-US"/>
              </w:rPr>
              <w:t>ours</w:t>
            </w:r>
          </w:p>
        </w:tc>
        <w:tc>
          <w:tcPr>
            <w:tcW w:w="5723" w:type="dxa"/>
          </w:tcPr>
          <w:p w:rsidR="00A83E47" w:rsidRPr="0064741B" w:rsidRDefault="00A83E47" w:rsidP="00D12F38">
            <w:pPr>
              <w:jc w:val="center"/>
              <w:rPr>
                <w:rFonts w:ascii="Tahoma" w:hAnsi="Tahoma" w:cs="Tahoma"/>
                <w:sz w:val="20"/>
                <w:szCs w:val="20"/>
                <w:lang w:val="en-US"/>
              </w:rPr>
            </w:pPr>
            <w:r w:rsidRPr="0064741B">
              <w:rPr>
                <w:rFonts w:ascii="Tahoma" w:hAnsi="Tahoma" w:cs="Tahoma"/>
                <w:sz w:val="20"/>
                <w:szCs w:val="20"/>
                <w:lang w:val="en-US"/>
              </w:rPr>
              <w:t>Topic</w:t>
            </w:r>
          </w:p>
        </w:tc>
      </w:tr>
      <w:tr w:rsidR="00A83E47" w:rsidTr="00D950D1">
        <w:tc>
          <w:tcPr>
            <w:tcW w:w="1576" w:type="dxa"/>
            <w:vMerge/>
          </w:tcPr>
          <w:p w:rsidR="00A83E47" w:rsidRPr="0064741B" w:rsidRDefault="00A83E47" w:rsidP="00D12F38">
            <w:pPr>
              <w:rPr>
                <w:rFonts w:ascii="Tahoma" w:hAnsi="Tahoma" w:cs="Tahoma"/>
                <w:b/>
                <w:sz w:val="20"/>
                <w:szCs w:val="20"/>
                <w:lang w:val="en-US"/>
              </w:rPr>
            </w:pPr>
          </w:p>
        </w:tc>
        <w:tc>
          <w:tcPr>
            <w:tcW w:w="749"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1</w:t>
            </w:r>
          </w:p>
        </w:tc>
        <w:tc>
          <w:tcPr>
            <w:tcW w:w="1415" w:type="dxa"/>
          </w:tcPr>
          <w:p w:rsidR="00A83E47" w:rsidRPr="00A87B56" w:rsidRDefault="00A83E47" w:rsidP="00D12F38">
            <w:pPr>
              <w:jc w:val="center"/>
              <w:rPr>
                <w:rFonts w:ascii="Tahoma" w:hAnsi="Tahoma" w:cs="Tahoma"/>
                <w:sz w:val="20"/>
                <w:szCs w:val="20"/>
                <w:lang w:val="en-US"/>
              </w:rPr>
            </w:pPr>
            <w:r w:rsidRPr="00A87B56">
              <w:rPr>
                <w:rFonts w:ascii="Tahoma" w:hAnsi="Tahoma" w:cs="Tahoma"/>
                <w:sz w:val="20"/>
                <w:szCs w:val="20"/>
                <w:lang w:val="en-US"/>
              </w:rPr>
              <w:t>6</w:t>
            </w:r>
          </w:p>
        </w:tc>
        <w:tc>
          <w:tcPr>
            <w:tcW w:w="5723"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General overview of the EU finance</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Financial resources of the European integration</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EU budgetary system versus national budgetary systems</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Where does the money go?</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Where does the money come from?</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Principles of the EU budgetary policy</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Budgetary planning in EU</w:t>
            </w:r>
          </w:p>
        </w:tc>
      </w:tr>
      <w:tr w:rsidR="00A83E47" w:rsidTr="00D950D1">
        <w:tc>
          <w:tcPr>
            <w:tcW w:w="1576" w:type="dxa"/>
            <w:vMerge/>
          </w:tcPr>
          <w:p w:rsidR="00A83E47" w:rsidRPr="0064741B" w:rsidRDefault="00A83E47" w:rsidP="00D12F38">
            <w:pPr>
              <w:rPr>
                <w:rFonts w:ascii="Tahoma" w:hAnsi="Tahoma" w:cs="Tahoma"/>
                <w:b/>
                <w:sz w:val="20"/>
                <w:szCs w:val="20"/>
                <w:lang w:val="en-US"/>
              </w:rPr>
            </w:pPr>
          </w:p>
        </w:tc>
        <w:tc>
          <w:tcPr>
            <w:tcW w:w="749"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2</w:t>
            </w:r>
          </w:p>
        </w:tc>
        <w:tc>
          <w:tcPr>
            <w:tcW w:w="1415" w:type="dxa"/>
          </w:tcPr>
          <w:p w:rsidR="00A83E47" w:rsidRPr="00422601" w:rsidRDefault="00A83E47" w:rsidP="00D12F38">
            <w:pPr>
              <w:jc w:val="center"/>
              <w:rPr>
                <w:rFonts w:ascii="Tahoma" w:hAnsi="Tahoma" w:cs="Tahoma"/>
                <w:sz w:val="20"/>
                <w:szCs w:val="20"/>
                <w:lang w:val="en-US"/>
              </w:rPr>
            </w:pPr>
            <w:r w:rsidRPr="00A87B56">
              <w:rPr>
                <w:rFonts w:ascii="Tahoma" w:hAnsi="Tahoma" w:cs="Tahoma"/>
                <w:sz w:val="20"/>
                <w:szCs w:val="20"/>
                <w:lang w:val="en-US"/>
              </w:rPr>
              <w:t>6</w:t>
            </w:r>
          </w:p>
        </w:tc>
        <w:tc>
          <w:tcPr>
            <w:tcW w:w="5723"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Evolution of the EU budgetary system</w:t>
            </w:r>
          </w:p>
          <w:p w:rsidR="00A83E47" w:rsidRPr="00422601" w:rsidRDefault="00A83E47" w:rsidP="00D12F38">
            <w:pPr>
              <w:pStyle w:val="a5"/>
              <w:numPr>
                <w:ilvl w:val="0"/>
                <w:numId w:val="1"/>
              </w:numPr>
              <w:autoSpaceDE w:val="0"/>
              <w:autoSpaceDN w:val="0"/>
              <w:adjustRightInd w:val="0"/>
              <w:contextualSpacing/>
              <w:rPr>
                <w:rFonts w:ascii="Tahoma" w:hAnsi="Tahoma" w:cs="Tahoma"/>
                <w:bCs/>
                <w:sz w:val="20"/>
                <w:szCs w:val="20"/>
                <w:lang w:val="en-US"/>
              </w:rPr>
            </w:pPr>
            <w:r w:rsidRPr="00422601">
              <w:rPr>
                <w:rFonts w:ascii="Tahoma" w:hAnsi="Tahoma" w:cs="Tahoma"/>
                <w:sz w:val="20"/>
                <w:szCs w:val="20"/>
                <w:lang w:val="en-US"/>
              </w:rPr>
              <w:t>The</w:t>
            </w:r>
            <w:r w:rsidRPr="00422601">
              <w:rPr>
                <w:rFonts w:ascii="Tahoma" w:hAnsi="Tahoma" w:cs="Tahoma"/>
                <w:bCs/>
                <w:sz w:val="20"/>
                <w:szCs w:val="20"/>
                <w:lang w:val="en-US"/>
              </w:rPr>
              <w:t xml:space="preserve"> development of an original financial system (1951-75)</w:t>
            </w:r>
          </w:p>
          <w:p w:rsidR="00A83E47" w:rsidRPr="00422601" w:rsidRDefault="00A83E47" w:rsidP="00D12F38">
            <w:pPr>
              <w:pStyle w:val="a5"/>
              <w:numPr>
                <w:ilvl w:val="0"/>
                <w:numId w:val="1"/>
              </w:numPr>
              <w:autoSpaceDE w:val="0"/>
              <w:autoSpaceDN w:val="0"/>
              <w:adjustRightInd w:val="0"/>
              <w:contextualSpacing/>
              <w:rPr>
                <w:rFonts w:ascii="Tahoma" w:hAnsi="Tahoma" w:cs="Tahoma"/>
                <w:bCs/>
                <w:sz w:val="20"/>
                <w:szCs w:val="20"/>
                <w:lang w:val="en-US"/>
              </w:rPr>
            </w:pPr>
            <w:r w:rsidRPr="00422601">
              <w:rPr>
                <w:rFonts w:ascii="Tahoma" w:hAnsi="Tahoma" w:cs="Tahoma"/>
                <w:bCs/>
                <w:sz w:val="20"/>
                <w:szCs w:val="20"/>
                <w:lang w:val="en-US"/>
              </w:rPr>
              <w:t>The crisis in the Community’s finances (1975-87)</w:t>
            </w:r>
          </w:p>
          <w:p w:rsidR="00A83E47" w:rsidRPr="00422601" w:rsidRDefault="00A83E47" w:rsidP="00D12F38">
            <w:pPr>
              <w:pStyle w:val="a5"/>
              <w:numPr>
                <w:ilvl w:val="0"/>
                <w:numId w:val="1"/>
              </w:numPr>
              <w:autoSpaceDE w:val="0"/>
              <w:autoSpaceDN w:val="0"/>
              <w:adjustRightInd w:val="0"/>
              <w:contextualSpacing/>
              <w:rPr>
                <w:rFonts w:ascii="Tahoma" w:hAnsi="Tahoma" w:cs="Tahoma"/>
                <w:bCs/>
                <w:sz w:val="20"/>
                <w:szCs w:val="20"/>
                <w:lang w:val="en-US"/>
              </w:rPr>
            </w:pPr>
            <w:r w:rsidRPr="00422601">
              <w:rPr>
                <w:rFonts w:ascii="Tahoma" w:hAnsi="Tahoma" w:cs="Tahoma"/>
                <w:bCs/>
                <w:sz w:val="20"/>
                <w:szCs w:val="20"/>
                <w:lang w:val="en-US"/>
              </w:rPr>
              <w:t>Reform of the Community’s finances:</w:t>
            </w:r>
            <w:r>
              <w:rPr>
                <w:rFonts w:ascii="Tahoma" w:hAnsi="Tahoma" w:cs="Tahoma"/>
                <w:bCs/>
                <w:sz w:val="20"/>
                <w:szCs w:val="20"/>
                <w:lang w:val="en-US"/>
              </w:rPr>
              <w:t xml:space="preserve"> </w:t>
            </w:r>
            <w:r w:rsidRPr="00422601">
              <w:rPr>
                <w:rFonts w:ascii="Tahoma" w:hAnsi="Tahoma" w:cs="Tahoma"/>
                <w:bCs/>
                <w:sz w:val="20"/>
                <w:szCs w:val="20"/>
                <w:lang w:val="en-US"/>
              </w:rPr>
              <w:t>the Delors I and II packages (1988-99)</w:t>
            </w:r>
          </w:p>
          <w:p w:rsidR="00A83E47" w:rsidRPr="00422601" w:rsidRDefault="00A83E47" w:rsidP="00D12F38">
            <w:pPr>
              <w:pStyle w:val="a5"/>
              <w:numPr>
                <w:ilvl w:val="0"/>
                <w:numId w:val="1"/>
              </w:numPr>
              <w:autoSpaceDE w:val="0"/>
              <w:autoSpaceDN w:val="0"/>
              <w:adjustRightInd w:val="0"/>
              <w:contextualSpacing/>
              <w:rPr>
                <w:rFonts w:ascii="Tahoma" w:hAnsi="Tahoma" w:cs="Tahoma"/>
                <w:bCs/>
                <w:sz w:val="20"/>
                <w:szCs w:val="20"/>
                <w:lang w:val="en-US"/>
              </w:rPr>
            </w:pPr>
            <w:r w:rsidRPr="00422601">
              <w:rPr>
                <w:rFonts w:ascii="Tahoma" w:hAnsi="Tahoma" w:cs="Tahoma"/>
                <w:bCs/>
                <w:sz w:val="20"/>
                <w:szCs w:val="20"/>
                <w:lang w:val="en-US"/>
              </w:rPr>
              <w:t>Establishment of a stable budgetary base</w:t>
            </w:r>
            <w:r>
              <w:rPr>
                <w:rFonts w:ascii="Tahoma" w:hAnsi="Tahoma" w:cs="Tahoma"/>
                <w:bCs/>
                <w:sz w:val="20"/>
                <w:szCs w:val="20"/>
                <w:lang w:val="en-US"/>
              </w:rPr>
              <w:t xml:space="preserve"> </w:t>
            </w:r>
            <w:r w:rsidRPr="00422601">
              <w:rPr>
                <w:rFonts w:ascii="Tahoma" w:hAnsi="Tahoma" w:cs="Tahoma"/>
                <w:bCs/>
                <w:sz w:val="20"/>
                <w:szCs w:val="20"/>
                <w:lang w:val="en-US"/>
              </w:rPr>
              <w:t>for enlargement of the European Union:</w:t>
            </w:r>
            <w:r>
              <w:rPr>
                <w:rFonts w:ascii="Tahoma" w:hAnsi="Tahoma" w:cs="Tahoma"/>
                <w:bCs/>
                <w:sz w:val="20"/>
                <w:szCs w:val="20"/>
                <w:lang w:val="en-US"/>
              </w:rPr>
              <w:t xml:space="preserve"> </w:t>
            </w:r>
            <w:r w:rsidRPr="00422601">
              <w:rPr>
                <w:rFonts w:ascii="Tahoma" w:hAnsi="Tahoma" w:cs="Tahoma"/>
                <w:bCs/>
                <w:sz w:val="20"/>
                <w:szCs w:val="20"/>
                <w:lang w:val="en-US"/>
              </w:rPr>
              <w:t>the Agenda 2000 package (2000-06)</w:t>
            </w:r>
          </w:p>
          <w:p w:rsidR="00A83E47" w:rsidRPr="00422601" w:rsidRDefault="00A83E47" w:rsidP="00D12F38">
            <w:pPr>
              <w:pStyle w:val="a5"/>
              <w:numPr>
                <w:ilvl w:val="0"/>
                <w:numId w:val="1"/>
              </w:numPr>
              <w:autoSpaceDE w:val="0"/>
              <w:autoSpaceDN w:val="0"/>
              <w:adjustRightInd w:val="0"/>
              <w:contextualSpacing/>
              <w:rPr>
                <w:rFonts w:ascii="Tahoma" w:hAnsi="Tahoma" w:cs="Tahoma"/>
                <w:sz w:val="20"/>
                <w:szCs w:val="20"/>
                <w:lang w:val="en-US"/>
              </w:rPr>
            </w:pPr>
            <w:r w:rsidRPr="00422601">
              <w:rPr>
                <w:rFonts w:ascii="Tahoma" w:hAnsi="Tahoma" w:cs="Tahoma"/>
                <w:bCs/>
                <w:sz w:val="20"/>
                <w:szCs w:val="20"/>
                <w:lang w:val="en-US"/>
              </w:rPr>
              <w:t>Policy challenges and budgetary means of the enlarged</w:t>
            </w:r>
            <w:r>
              <w:rPr>
                <w:rFonts w:ascii="Tahoma" w:hAnsi="Tahoma" w:cs="Tahoma"/>
                <w:bCs/>
                <w:sz w:val="20"/>
                <w:szCs w:val="20"/>
                <w:lang w:val="en-US"/>
              </w:rPr>
              <w:t xml:space="preserve"> </w:t>
            </w:r>
            <w:r w:rsidRPr="00422601">
              <w:rPr>
                <w:rFonts w:ascii="Tahoma" w:hAnsi="Tahoma" w:cs="Tahoma"/>
                <w:bCs/>
                <w:sz w:val="20"/>
                <w:szCs w:val="20"/>
                <w:lang w:val="en-US"/>
              </w:rPr>
              <w:t>Union: the multiannual financial framework 2007-13</w:t>
            </w:r>
          </w:p>
          <w:p w:rsidR="00A83E47" w:rsidRPr="00422601" w:rsidRDefault="00A83E47" w:rsidP="00D12F38">
            <w:pPr>
              <w:pStyle w:val="a5"/>
              <w:numPr>
                <w:ilvl w:val="0"/>
                <w:numId w:val="1"/>
              </w:numPr>
              <w:autoSpaceDE w:val="0"/>
              <w:autoSpaceDN w:val="0"/>
              <w:adjustRightInd w:val="0"/>
              <w:contextualSpacing/>
              <w:rPr>
                <w:rFonts w:ascii="Tahoma" w:hAnsi="Tahoma" w:cs="Tahoma"/>
                <w:sz w:val="20"/>
                <w:szCs w:val="20"/>
                <w:lang w:val="en-US"/>
              </w:rPr>
            </w:pPr>
            <w:r w:rsidRPr="00422601">
              <w:rPr>
                <w:rFonts w:ascii="Tahoma" w:hAnsi="Tahoma" w:cs="Tahoma"/>
                <w:bCs/>
                <w:sz w:val="20"/>
                <w:szCs w:val="20"/>
                <w:lang w:val="en-US"/>
              </w:rPr>
              <w:t>Budgetary resources for Europe 2020 Strategy (2014-20)</w:t>
            </w:r>
          </w:p>
        </w:tc>
      </w:tr>
      <w:tr w:rsidR="00A83E47" w:rsidTr="00D950D1">
        <w:tc>
          <w:tcPr>
            <w:tcW w:w="1576" w:type="dxa"/>
            <w:vMerge/>
          </w:tcPr>
          <w:p w:rsidR="00A83E47" w:rsidRPr="0064741B" w:rsidRDefault="00A83E47" w:rsidP="00D12F38">
            <w:pPr>
              <w:rPr>
                <w:rFonts w:ascii="Tahoma" w:hAnsi="Tahoma" w:cs="Tahoma"/>
                <w:b/>
                <w:sz w:val="20"/>
                <w:szCs w:val="20"/>
                <w:lang w:val="en-US"/>
              </w:rPr>
            </w:pPr>
          </w:p>
        </w:tc>
        <w:tc>
          <w:tcPr>
            <w:tcW w:w="749"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3</w:t>
            </w:r>
          </w:p>
        </w:tc>
        <w:tc>
          <w:tcPr>
            <w:tcW w:w="1415" w:type="dxa"/>
          </w:tcPr>
          <w:p w:rsidR="00A83E47" w:rsidRPr="00422601" w:rsidRDefault="00A83E47" w:rsidP="00D12F38">
            <w:pPr>
              <w:jc w:val="center"/>
              <w:rPr>
                <w:rFonts w:ascii="Tahoma" w:hAnsi="Tahoma" w:cs="Tahoma"/>
                <w:sz w:val="20"/>
                <w:szCs w:val="20"/>
                <w:lang w:val="en-US"/>
              </w:rPr>
            </w:pPr>
            <w:r w:rsidRPr="00A87B56">
              <w:rPr>
                <w:rFonts w:ascii="Tahoma" w:hAnsi="Tahoma" w:cs="Tahoma"/>
                <w:sz w:val="20"/>
                <w:szCs w:val="20"/>
                <w:lang w:val="en-US"/>
              </w:rPr>
              <w:t>6</w:t>
            </w:r>
          </w:p>
        </w:tc>
        <w:tc>
          <w:tcPr>
            <w:tcW w:w="5723" w:type="dxa"/>
          </w:tcPr>
          <w:p w:rsidR="00A83E47" w:rsidRPr="00422601" w:rsidRDefault="00A83E47" w:rsidP="00D12F38">
            <w:pPr>
              <w:tabs>
                <w:tab w:val="center" w:pos="3843"/>
              </w:tabs>
              <w:rPr>
                <w:rFonts w:ascii="Tahoma" w:hAnsi="Tahoma" w:cs="Tahoma"/>
                <w:sz w:val="20"/>
                <w:szCs w:val="20"/>
                <w:lang w:val="en-US"/>
              </w:rPr>
            </w:pPr>
            <w:r w:rsidRPr="00422601">
              <w:rPr>
                <w:rFonts w:ascii="Tahoma" w:hAnsi="Tahoma" w:cs="Tahoma"/>
                <w:sz w:val="20"/>
                <w:szCs w:val="20"/>
                <w:lang w:val="en-US"/>
              </w:rPr>
              <w:t>The EU budgetary legislation</w:t>
            </w:r>
            <w:r w:rsidRPr="00422601">
              <w:rPr>
                <w:rFonts w:ascii="Tahoma" w:hAnsi="Tahoma" w:cs="Tahoma"/>
                <w:sz w:val="20"/>
                <w:szCs w:val="20"/>
                <w:lang w:val="en-US"/>
              </w:rPr>
              <w:tab/>
            </w:r>
          </w:p>
          <w:p w:rsidR="00A83E47" w:rsidRPr="00422601" w:rsidRDefault="00A83E47" w:rsidP="00A83E47">
            <w:pPr>
              <w:pStyle w:val="a5"/>
              <w:numPr>
                <w:ilvl w:val="0"/>
                <w:numId w:val="2"/>
              </w:numPr>
              <w:tabs>
                <w:tab w:val="center" w:pos="743"/>
              </w:tabs>
              <w:ind w:left="743"/>
              <w:contextualSpacing/>
              <w:rPr>
                <w:rFonts w:ascii="Tahoma" w:hAnsi="Tahoma" w:cs="Tahoma"/>
                <w:sz w:val="20"/>
                <w:szCs w:val="20"/>
                <w:lang w:val="en-US"/>
              </w:rPr>
            </w:pPr>
            <w:r w:rsidRPr="00422601">
              <w:rPr>
                <w:rFonts w:ascii="Tahoma" w:hAnsi="Tahoma" w:cs="Tahoma"/>
                <w:sz w:val="20"/>
                <w:szCs w:val="20"/>
                <w:lang w:val="en-US"/>
              </w:rPr>
              <w:t>General characteristics of the EU legislation</w:t>
            </w:r>
          </w:p>
          <w:p w:rsidR="00A83E47" w:rsidRPr="00422601" w:rsidRDefault="00A83E47" w:rsidP="00A83E47">
            <w:pPr>
              <w:pStyle w:val="a5"/>
              <w:numPr>
                <w:ilvl w:val="0"/>
                <w:numId w:val="2"/>
              </w:numPr>
              <w:tabs>
                <w:tab w:val="center" w:pos="743"/>
              </w:tabs>
              <w:ind w:left="743"/>
              <w:contextualSpacing/>
              <w:rPr>
                <w:rFonts w:ascii="Tahoma" w:hAnsi="Tahoma" w:cs="Tahoma"/>
                <w:sz w:val="20"/>
                <w:szCs w:val="20"/>
                <w:lang w:val="en-US"/>
              </w:rPr>
            </w:pPr>
            <w:r w:rsidRPr="00422601">
              <w:rPr>
                <w:rFonts w:ascii="Tahoma" w:hAnsi="Tahoma" w:cs="Tahoma"/>
                <w:sz w:val="20"/>
                <w:szCs w:val="20"/>
                <w:lang w:val="en-US"/>
              </w:rPr>
              <w:t>Specific features of the EU budgetary legislation</w:t>
            </w:r>
          </w:p>
          <w:p w:rsidR="00A83E47" w:rsidRPr="00422601" w:rsidRDefault="00A83E47" w:rsidP="00A83E47">
            <w:pPr>
              <w:pStyle w:val="a5"/>
              <w:numPr>
                <w:ilvl w:val="0"/>
                <w:numId w:val="2"/>
              </w:numPr>
              <w:tabs>
                <w:tab w:val="center" w:pos="743"/>
              </w:tabs>
              <w:ind w:left="743"/>
              <w:contextualSpacing/>
              <w:rPr>
                <w:rFonts w:ascii="Tahoma" w:hAnsi="Tahoma" w:cs="Tahoma"/>
                <w:sz w:val="20"/>
                <w:szCs w:val="20"/>
                <w:lang w:val="en-US"/>
              </w:rPr>
            </w:pPr>
            <w:r w:rsidRPr="00422601">
              <w:rPr>
                <w:rFonts w:ascii="Tahoma" w:hAnsi="Tahoma" w:cs="Tahoma"/>
                <w:sz w:val="20"/>
                <w:szCs w:val="20"/>
                <w:lang w:val="en-US"/>
              </w:rPr>
              <w:t>Financial provisions of primary legislation</w:t>
            </w:r>
          </w:p>
          <w:p w:rsidR="00A83E47" w:rsidRPr="00422601" w:rsidRDefault="00A83E47" w:rsidP="00A83E47">
            <w:pPr>
              <w:pStyle w:val="a5"/>
              <w:numPr>
                <w:ilvl w:val="0"/>
                <w:numId w:val="2"/>
              </w:numPr>
              <w:tabs>
                <w:tab w:val="center" w:pos="743"/>
              </w:tabs>
              <w:ind w:left="743"/>
              <w:contextualSpacing/>
              <w:rPr>
                <w:rFonts w:ascii="Tahoma" w:hAnsi="Tahoma" w:cs="Tahoma"/>
                <w:sz w:val="20"/>
                <w:szCs w:val="20"/>
                <w:lang w:val="en-US"/>
              </w:rPr>
            </w:pPr>
            <w:r w:rsidRPr="00422601">
              <w:rPr>
                <w:rFonts w:ascii="Tahoma" w:hAnsi="Tahoma" w:cs="Tahoma"/>
                <w:sz w:val="20"/>
                <w:szCs w:val="20"/>
                <w:lang w:val="en-US"/>
              </w:rPr>
              <w:t>Basic acts of secondary legislation. Own Resource Decision and Financial Regulation.</w:t>
            </w:r>
          </w:p>
          <w:p w:rsidR="00A83E47" w:rsidRPr="00422601" w:rsidRDefault="00A83E47" w:rsidP="00A83E47">
            <w:pPr>
              <w:pStyle w:val="a5"/>
              <w:numPr>
                <w:ilvl w:val="0"/>
                <w:numId w:val="2"/>
              </w:numPr>
              <w:tabs>
                <w:tab w:val="center" w:pos="743"/>
              </w:tabs>
              <w:ind w:left="743"/>
              <w:contextualSpacing/>
              <w:rPr>
                <w:rFonts w:ascii="Tahoma" w:hAnsi="Tahoma" w:cs="Tahoma"/>
                <w:sz w:val="20"/>
                <w:szCs w:val="20"/>
                <w:lang w:val="en-US"/>
              </w:rPr>
            </w:pPr>
            <w:r w:rsidRPr="00422601">
              <w:rPr>
                <w:rFonts w:ascii="Tahoma" w:hAnsi="Tahoma" w:cs="Tahoma"/>
                <w:sz w:val="20"/>
                <w:szCs w:val="20"/>
                <w:lang w:val="en-US"/>
              </w:rPr>
              <w:t>Interinstitutional agreements and Court of Justice decisions</w:t>
            </w:r>
          </w:p>
        </w:tc>
      </w:tr>
      <w:tr w:rsidR="00A83E47" w:rsidTr="00D950D1">
        <w:tc>
          <w:tcPr>
            <w:tcW w:w="1576" w:type="dxa"/>
            <w:vMerge/>
          </w:tcPr>
          <w:p w:rsidR="00A83E47" w:rsidRPr="0064741B" w:rsidRDefault="00A83E47" w:rsidP="00D12F38">
            <w:pPr>
              <w:rPr>
                <w:rFonts w:ascii="Tahoma" w:hAnsi="Tahoma" w:cs="Tahoma"/>
                <w:b/>
                <w:sz w:val="20"/>
                <w:szCs w:val="20"/>
                <w:lang w:val="en-US"/>
              </w:rPr>
            </w:pPr>
          </w:p>
        </w:tc>
        <w:tc>
          <w:tcPr>
            <w:tcW w:w="749"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4</w:t>
            </w:r>
          </w:p>
        </w:tc>
        <w:tc>
          <w:tcPr>
            <w:tcW w:w="1415" w:type="dxa"/>
          </w:tcPr>
          <w:p w:rsidR="00A83E47" w:rsidRPr="00422601" w:rsidRDefault="00A83E47" w:rsidP="00D12F38">
            <w:pPr>
              <w:jc w:val="center"/>
              <w:rPr>
                <w:rFonts w:ascii="Tahoma" w:hAnsi="Tahoma" w:cs="Tahoma"/>
                <w:sz w:val="20"/>
                <w:szCs w:val="20"/>
                <w:lang w:val="en-US"/>
              </w:rPr>
            </w:pPr>
            <w:r w:rsidRPr="00A87B56">
              <w:rPr>
                <w:rFonts w:ascii="Tahoma" w:hAnsi="Tahoma" w:cs="Tahoma"/>
                <w:sz w:val="20"/>
                <w:szCs w:val="20"/>
                <w:lang w:val="en-US"/>
              </w:rPr>
              <w:t>6</w:t>
            </w:r>
          </w:p>
        </w:tc>
        <w:tc>
          <w:tcPr>
            <w:tcW w:w="5723"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EU institutions and bodies in budgetary process</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General competences and the system of the EU institutions</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The EU budgetary authority (Parliament and Council)</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Budgetary functions of the European Commission: the DG BUDG</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The European Court of Auditors and other audit and control bodies</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Court of Justice of the EU</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Special legislative procedures in the EU budgetary process</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Peculiarities of an annual budget execution</w:t>
            </w:r>
          </w:p>
        </w:tc>
      </w:tr>
      <w:tr w:rsidR="00A83E47" w:rsidTr="00D950D1">
        <w:tc>
          <w:tcPr>
            <w:tcW w:w="1576" w:type="dxa"/>
            <w:vMerge/>
            <w:tcBorders>
              <w:bottom w:val="nil"/>
            </w:tcBorders>
          </w:tcPr>
          <w:p w:rsidR="00A83E47" w:rsidRPr="0064741B" w:rsidRDefault="00A83E47" w:rsidP="00D12F38">
            <w:pPr>
              <w:rPr>
                <w:rFonts w:ascii="Tahoma" w:hAnsi="Tahoma" w:cs="Tahoma"/>
                <w:b/>
                <w:sz w:val="20"/>
                <w:szCs w:val="20"/>
                <w:lang w:val="en-US"/>
              </w:rPr>
            </w:pPr>
          </w:p>
        </w:tc>
        <w:tc>
          <w:tcPr>
            <w:tcW w:w="749"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5</w:t>
            </w:r>
          </w:p>
        </w:tc>
        <w:tc>
          <w:tcPr>
            <w:tcW w:w="1415" w:type="dxa"/>
          </w:tcPr>
          <w:p w:rsidR="00A83E47" w:rsidRPr="00422601" w:rsidRDefault="00A83E47" w:rsidP="00D12F38">
            <w:pPr>
              <w:jc w:val="center"/>
              <w:rPr>
                <w:rFonts w:ascii="Tahoma" w:hAnsi="Tahoma" w:cs="Tahoma"/>
                <w:sz w:val="20"/>
                <w:szCs w:val="20"/>
                <w:lang w:val="en-US"/>
              </w:rPr>
            </w:pPr>
            <w:r w:rsidRPr="00A87B56">
              <w:rPr>
                <w:rFonts w:ascii="Tahoma" w:hAnsi="Tahoma" w:cs="Tahoma"/>
                <w:sz w:val="20"/>
                <w:szCs w:val="20"/>
                <w:lang w:val="en-US"/>
              </w:rPr>
              <w:t>6</w:t>
            </w:r>
          </w:p>
        </w:tc>
        <w:tc>
          <w:tcPr>
            <w:tcW w:w="5723"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Revenue-generating system in the EU</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Sources of revenue for the EU budget</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 xml:space="preserve">Traditional own resources </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 xml:space="preserve">VAT-based own resource </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GNI-resource in balancing the EU budget</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Correcting net-balances for some Member-States. UK correction</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 xml:space="preserve">Other sources of revenue </w:t>
            </w:r>
          </w:p>
        </w:tc>
      </w:tr>
      <w:tr w:rsidR="00A83E47" w:rsidTr="00D950D1">
        <w:tc>
          <w:tcPr>
            <w:tcW w:w="1576" w:type="dxa"/>
            <w:vMerge w:val="restart"/>
            <w:tcBorders>
              <w:top w:val="nil"/>
            </w:tcBorders>
          </w:tcPr>
          <w:p w:rsidR="00A83E47" w:rsidRPr="0064741B" w:rsidRDefault="00A83E47" w:rsidP="00D12F38">
            <w:pPr>
              <w:rPr>
                <w:rFonts w:ascii="Tahoma" w:hAnsi="Tahoma" w:cs="Tahoma"/>
                <w:b/>
                <w:sz w:val="20"/>
                <w:szCs w:val="20"/>
                <w:lang w:val="en-US"/>
              </w:rPr>
            </w:pPr>
          </w:p>
        </w:tc>
        <w:tc>
          <w:tcPr>
            <w:tcW w:w="749"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6</w:t>
            </w:r>
          </w:p>
        </w:tc>
        <w:tc>
          <w:tcPr>
            <w:tcW w:w="1415" w:type="dxa"/>
          </w:tcPr>
          <w:p w:rsidR="00A83E47" w:rsidRPr="00422601" w:rsidRDefault="00A83E47" w:rsidP="00D12F38">
            <w:pPr>
              <w:jc w:val="center"/>
              <w:rPr>
                <w:rFonts w:ascii="Tahoma" w:hAnsi="Tahoma" w:cs="Tahoma"/>
                <w:sz w:val="20"/>
                <w:szCs w:val="20"/>
                <w:lang w:val="en-US"/>
              </w:rPr>
            </w:pPr>
            <w:r w:rsidRPr="00A87B56">
              <w:rPr>
                <w:rFonts w:ascii="Tahoma" w:hAnsi="Tahoma" w:cs="Tahoma"/>
                <w:sz w:val="20"/>
                <w:szCs w:val="20"/>
                <w:lang w:val="en-US"/>
              </w:rPr>
              <w:t>6</w:t>
            </w:r>
          </w:p>
        </w:tc>
        <w:tc>
          <w:tcPr>
            <w:tcW w:w="5723"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Structure of the EU budgetary expenditure</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Expenditure categories according to Financial Framework 2014–2020</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Financial programs for smart and inclusive growth</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Economic, social and territorial cohesion funds</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Budgetary means for protection of natural resources</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Security and citizenship initiatives</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Financial instruments for “Global Europe”</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 xml:space="preserve">Cost of administration </w:t>
            </w:r>
          </w:p>
        </w:tc>
      </w:tr>
      <w:tr w:rsidR="00A83E47" w:rsidTr="00D950D1">
        <w:tc>
          <w:tcPr>
            <w:tcW w:w="1576" w:type="dxa"/>
            <w:vMerge/>
          </w:tcPr>
          <w:p w:rsidR="00A83E47" w:rsidRPr="0064741B" w:rsidRDefault="00A83E47" w:rsidP="00D12F38">
            <w:pPr>
              <w:rPr>
                <w:rFonts w:ascii="Tahoma" w:hAnsi="Tahoma" w:cs="Tahoma"/>
                <w:b/>
                <w:sz w:val="20"/>
                <w:szCs w:val="20"/>
                <w:lang w:val="en-US"/>
              </w:rPr>
            </w:pPr>
          </w:p>
        </w:tc>
        <w:tc>
          <w:tcPr>
            <w:tcW w:w="749"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7</w:t>
            </w:r>
          </w:p>
        </w:tc>
        <w:tc>
          <w:tcPr>
            <w:tcW w:w="1415" w:type="dxa"/>
          </w:tcPr>
          <w:p w:rsidR="00A83E47" w:rsidRPr="00422601" w:rsidRDefault="00A83E47" w:rsidP="00D12F38">
            <w:pPr>
              <w:jc w:val="center"/>
              <w:rPr>
                <w:rFonts w:ascii="Tahoma" w:hAnsi="Tahoma" w:cs="Tahoma"/>
                <w:sz w:val="20"/>
                <w:szCs w:val="20"/>
                <w:lang w:val="en-US"/>
              </w:rPr>
            </w:pPr>
            <w:r w:rsidRPr="00A87B56">
              <w:rPr>
                <w:rFonts w:ascii="Tahoma" w:hAnsi="Tahoma" w:cs="Tahoma"/>
                <w:sz w:val="20"/>
                <w:szCs w:val="20"/>
                <w:lang w:val="en-US"/>
              </w:rPr>
              <w:t>6</w:t>
            </w:r>
          </w:p>
        </w:tc>
        <w:tc>
          <w:tcPr>
            <w:tcW w:w="5723" w:type="dxa"/>
          </w:tcPr>
          <w:p w:rsidR="00A83E47" w:rsidRPr="00422601" w:rsidRDefault="00A83E47" w:rsidP="00D12F38">
            <w:pPr>
              <w:rPr>
                <w:rFonts w:ascii="Tahoma" w:hAnsi="Tahoma" w:cs="Tahoma"/>
                <w:sz w:val="20"/>
                <w:szCs w:val="20"/>
                <w:lang w:val="en-US"/>
              </w:rPr>
            </w:pPr>
            <w:r w:rsidRPr="00422601">
              <w:rPr>
                <w:rFonts w:ascii="Tahoma" w:hAnsi="Tahoma" w:cs="Tahoma"/>
                <w:sz w:val="20"/>
                <w:szCs w:val="20"/>
                <w:lang w:val="en-US"/>
              </w:rPr>
              <w:t>Future of the EU finance</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Critical elements of the EU budgetary system</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Public and expert polls as for the EU finance</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Weak points of the EU own resource system</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Alternative revenue sources for the EU</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EU expenditure and economic theory</w:t>
            </w:r>
          </w:p>
          <w:p w:rsidR="00A83E47" w:rsidRPr="00422601" w:rsidRDefault="00A83E47" w:rsidP="00D12F38">
            <w:pPr>
              <w:pStyle w:val="a5"/>
              <w:numPr>
                <w:ilvl w:val="0"/>
                <w:numId w:val="1"/>
              </w:numPr>
              <w:contextualSpacing/>
              <w:rPr>
                <w:rFonts w:ascii="Tahoma" w:hAnsi="Tahoma" w:cs="Tahoma"/>
                <w:sz w:val="20"/>
                <w:szCs w:val="20"/>
                <w:lang w:val="en-US"/>
              </w:rPr>
            </w:pPr>
            <w:r w:rsidRPr="00422601">
              <w:rPr>
                <w:rFonts w:ascii="Tahoma" w:hAnsi="Tahoma" w:cs="Tahoma"/>
                <w:sz w:val="20"/>
                <w:szCs w:val="20"/>
                <w:lang w:val="en-US"/>
              </w:rPr>
              <w:t>Prospect for a budgetary reform: is there a Juncker package to come?</w:t>
            </w:r>
          </w:p>
        </w:tc>
      </w:tr>
      <w:tr w:rsidR="00A83E47" w:rsidTr="00D950D1">
        <w:tc>
          <w:tcPr>
            <w:tcW w:w="1576" w:type="dxa"/>
          </w:tcPr>
          <w:p w:rsidR="00A83E47" w:rsidRPr="0064741B" w:rsidRDefault="00A83E47" w:rsidP="00D12F38">
            <w:pPr>
              <w:rPr>
                <w:rFonts w:ascii="Tahoma" w:hAnsi="Tahoma" w:cs="Tahoma"/>
                <w:b/>
                <w:sz w:val="20"/>
                <w:szCs w:val="20"/>
                <w:lang w:val="en-US"/>
              </w:rPr>
            </w:pPr>
          </w:p>
        </w:tc>
        <w:tc>
          <w:tcPr>
            <w:tcW w:w="749" w:type="dxa"/>
          </w:tcPr>
          <w:p w:rsidR="00A83E47" w:rsidRPr="00422601" w:rsidRDefault="00A83E47" w:rsidP="00D12F38">
            <w:pPr>
              <w:rPr>
                <w:rFonts w:ascii="Tahoma" w:hAnsi="Tahoma" w:cs="Tahoma"/>
                <w:sz w:val="20"/>
                <w:szCs w:val="20"/>
                <w:lang w:val="en-US"/>
              </w:rPr>
            </w:pPr>
            <w:r>
              <w:rPr>
                <w:rFonts w:ascii="Tahoma" w:hAnsi="Tahoma" w:cs="Tahoma"/>
                <w:sz w:val="20"/>
                <w:szCs w:val="20"/>
                <w:lang w:val="en-US"/>
              </w:rPr>
              <w:t>8</w:t>
            </w:r>
          </w:p>
        </w:tc>
        <w:tc>
          <w:tcPr>
            <w:tcW w:w="1415" w:type="dxa"/>
          </w:tcPr>
          <w:p w:rsidR="00A83E47" w:rsidRPr="00A87B56" w:rsidRDefault="00A83E47" w:rsidP="00D12F38">
            <w:pPr>
              <w:jc w:val="center"/>
              <w:rPr>
                <w:rFonts w:ascii="Tahoma" w:hAnsi="Tahoma" w:cs="Tahoma"/>
                <w:sz w:val="20"/>
                <w:szCs w:val="20"/>
                <w:lang w:val="en-US"/>
              </w:rPr>
            </w:pPr>
            <w:r w:rsidRPr="00A87B56">
              <w:rPr>
                <w:rFonts w:ascii="Tahoma" w:hAnsi="Tahoma" w:cs="Tahoma"/>
                <w:sz w:val="20"/>
                <w:szCs w:val="20"/>
                <w:lang w:val="en-US"/>
              </w:rPr>
              <w:t>6</w:t>
            </w:r>
          </w:p>
        </w:tc>
        <w:tc>
          <w:tcPr>
            <w:tcW w:w="5723" w:type="dxa"/>
          </w:tcPr>
          <w:p w:rsidR="00A83E47" w:rsidRPr="00422601" w:rsidRDefault="00A83E47" w:rsidP="00D12F38">
            <w:pPr>
              <w:rPr>
                <w:rFonts w:ascii="Tahoma" w:hAnsi="Tahoma" w:cs="Tahoma"/>
                <w:sz w:val="20"/>
                <w:szCs w:val="20"/>
                <w:lang w:val="en-US"/>
              </w:rPr>
            </w:pPr>
            <w:r>
              <w:rPr>
                <w:rFonts w:ascii="Tahoma" w:hAnsi="Tahoma" w:cs="Tahoma"/>
                <w:sz w:val="20"/>
                <w:szCs w:val="20"/>
                <w:lang w:val="en-US"/>
              </w:rPr>
              <w:t>S</w:t>
            </w:r>
            <w:r w:rsidRPr="00422601">
              <w:rPr>
                <w:rFonts w:ascii="Tahoma" w:hAnsi="Tahoma" w:cs="Tahoma"/>
                <w:sz w:val="20"/>
                <w:szCs w:val="20"/>
                <w:lang w:val="en-US"/>
              </w:rPr>
              <w:t>ession with a guest speaker – an expert in EU funding</w:t>
            </w:r>
            <w:r>
              <w:rPr>
                <w:rFonts w:ascii="Tahoma" w:hAnsi="Tahoma" w:cs="Tahoma"/>
                <w:sz w:val="20"/>
                <w:szCs w:val="20"/>
                <w:lang w:val="en-US"/>
              </w:rPr>
              <w:t>. Final examination</w:t>
            </w:r>
          </w:p>
        </w:tc>
      </w:tr>
      <w:tr w:rsidR="00A83E47" w:rsidTr="00D950D1">
        <w:tc>
          <w:tcPr>
            <w:tcW w:w="1576" w:type="dxa"/>
          </w:tcPr>
          <w:p w:rsidR="00A83E47" w:rsidRPr="00041917" w:rsidRDefault="00A83E47" w:rsidP="00D12F38">
            <w:pPr>
              <w:rPr>
                <w:rFonts w:ascii="Tahoma" w:hAnsi="Tahoma" w:cs="Tahoma"/>
                <w:b/>
                <w:sz w:val="20"/>
                <w:szCs w:val="20"/>
                <w:lang w:val="en-US"/>
              </w:rPr>
            </w:pPr>
            <w:r w:rsidRPr="00041917">
              <w:rPr>
                <w:rFonts w:ascii="Tahoma" w:hAnsi="Tahoma" w:cs="Tahoma"/>
                <w:b/>
                <w:sz w:val="20"/>
                <w:szCs w:val="20"/>
                <w:lang w:val="en-US"/>
              </w:rPr>
              <w:t>Assigned readings:</w:t>
            </w:r>
          </w:p>
          <w:p w:rsidR="00A83E47" w:rsidRDefault="00A83E47" w:rsidP="00D12F38">
            <w:pPr>
              <w:rPr>
                <w:rFonts w:ascii="Tahoma" w:hAnsi="Tahoma" w:cs="Tahoma"/>
                <w:b/>
                <w:caps/>
                <w:sz w:val="20"/>
                <w:szCs w:val="20"/>
                <w:lang w:val="uk-UA"/>
              </w:rPr>
            </w:pPr>
          </w:p>
        </w:tc>
        <w:tc>
          <w:tcPr>
            <w:tcW w:w="7887" w:type="dxa"/>
            <w:gridSpan w:val="3"/>
          </w:tcPr>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 xml:space="preserve">A Study on EU Spending. Final Report / </w:t>
            </w:r>
            <w:r w:rsidRPr="00A9305A">
              <w:rPr>
                <w:rFonts w:ascii="Tahoma" w:hAnsi="Tahoma" w:cs="Tahoma"/>
                <w:bCs/>
                <w:sz w:val="20"/>
                <w:szCs w:val="20"/>
                <w:lang w:val="en-US"/>
              </w:rPr>
              <w:t xml:space="preserve">ECORYS Nederland BV, Netherlands Bureau for Economic Policy Analysis (CPB), Institute for Economic Research (IFO). – </w:t>
            </w:r>
            <w:r w:rsidRPr="00A9305A">
              <w:rPr>
                <w:rFonts w:ascii="Tahoma" w:hAnsi="Tahoma" w:cs="Tahoma"/>
                <w:sz w:val="20"/>
                <w:szCs w:val="20"/>
                <w:lang w:val="en-US"/>
              </w:rPr>
              <w:t>Rotterdam, 2008. – 357 p.</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 xml:space="preserve">Begg I. Reshaping the EU Budget: Yet Another Missed Opportunity // Policy Paper. – 1999. – № 1. – 22 p. </w:t>
            </w:r>
          </w:p>
          <w:p w:rsidR="00A83E47" w:rsidRPr="00A9305A" w:rsidRDefault="00A83E47" w:rsidP="00A83E47">
            <w:pPr>
              <w:pStyle w:val="a6"/>
              <w:numPr>
                <w:ilvl w:val="0"/>
                <w:numId w:val="3"/>
              </w:numPr>
              <w:tabs>
                <w:tab w:val="clear" w:pos="1125"/>
                <w:tab w:val="num" w:pos="272"/>
                <w:tab w:val="left" w:pos="503"/>
              </w:tabs>
              <w:ind w:left="503" w:hanging="399"/>
              <w:rPr>
                <w:rFonts w:ascii="Tahoma" w:hAnsi="Tahoma" w:cs="Tahoma"/>
                <w:lang w:val="en-US"/>
              </w:rPr>
            </w:pPr>
            <w:r w:rsidRPr="00A9305A">
              <w:rPr>
                <w:rFonts w:ascii="Tahoma" w:hAnsi="Tahoma" w:cs="Tahoma"/>
              </w:rPr>
              <w:t>Begg I</w:t>
            </w:r>
            <w:r w:rsidRPr="00A9305A">
              <w:rPr>
                <w:rFonts w:ascii="Tahoma" w:hAnsi="Tahoma" w:cs="Tahoma"/>
                <w:lang w:val="en-US"/>
              </w:rPr>
              <w:t xml:space="preserve">. </w:t>
            </w:r>
            <w:r w:rsidRPr="00A9305A">
              <w:rPr>
                <w:rFonts w:ascii="Tahoma" w:hAnsi="Tahoma" w:cs="Tahoma"/>
              </w:rPr>
              <w:t>Rethinkingthe EU</w:t>
            </w:r>
            <w:r w:rsidRPr="00A9305A">
              <w:rPr>
                <w:rFonts w:ascii="Tahoma" w:hAnsi="Tahoma" w:cs="Tahoma"/>
                <w:lang w:val="en-US"/>
              </w:rPr>
              <w:t>’</w:t>
            </w:r>
            <w:r w:rsidRPr="00A9305A">
              <w:rPr>
                <w:rFonts w:ascii="Tahoma" w:hAnsi="Tahoma" w:cs="Tahoma"/>
              </w:rPr>
              <w:t>s Finances</w:t>
            </w:r>
            <w:r w:rsidRPr="00A9305A">
              <w:rPr>
                <w:rFonts w:ascii="Tahoma" w:hAnsi="Tahoma" w:cs="Tahoma"/>
                <w:lang w:val="en-US"/>
              </w:rPr>
              <w:t xml:space="preserve"> // Speech delivered at </w:t>
            </w:r>
            <w:r w:rsidRPr="00A9305A">
              <w:rPr>
                <w:rFonts w:ascii="Tahoma" w:hAnsi="Tahoma" w:cs="Tahoma"/>
              </w:rPr>
              <w:t>LondonSchoolofEconomics</w:t>
            </w:r>
            <w:r w:rsidRPr="00A9305A">
              <w:rPr>
                <w:rFonts w:ascii="Tahoma" w:hAnsi="Tahoma" w:cs="Tahoma"/>
                <w:lang w:val="en-US"/>
              </w:rPr>
              <w:t xml:space="preserve"> European Institute Debate (in association with </w:t>
            </w:r>
            <w:r w:rsidRPr="00A9305A">
              <w:rPr>
                <w:rFonts w:ascii="Tahoma" w:hAnsi="Tahoma" w:cs="Tahoma"/>
                <w:lang w:val="en-US"/>
              </w:rPr>
              <w:lastRenderedPageBreak/>
              <w:t xml:space="preserve">European Commission and FT Business). – London, </w:t>
            </w:r>
            <w:r w:rsidRPr="00A9305A">
              <w:rPr>
                <w:rFonts w:ascii="Tahoma" w:hAnsi="Tahoma" w:cs="Tahoma"/>
              </w:rPr>
              <w:t>27November 2008</w:t>
            </w:r>
            <w:r w:rsidRPr="00A9305A">
              <w:rPr>
                <w:rFonts w:ascii="Tahoma" w:hAnsi="Tahoma" w:cs="Tahoma"/>
                <w:lang w:val="en-US"/>
              </w:rPr>
              <w:t xml:space="preserve"> // </w:t>
            </w:r>
            <w:hyperlink r:id="rId10" w:history="1">
              <w:r w:rsidRPr="00A9305A">
                <w:rPr>
                  <w:rStyle w:val="a4"/>
                  <w:rFonts w:ascii="Tahoma" w:hAnsi="Tahoma" w:cs="Tahoma"/>
                  <w:lang w:val="en-US"/>
                </w:rPr>
                <w:t>http://www2.lse.ac.uk/publicEvents/pdf/20081127GrybauskaiteBegg.pdf</w:t>
              </w:r>
            </w:hyperlink>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 xml:space="preserve">Bird R. Threading the fiscal labyrinth: some issues in fiscal decentralization // </w:t>
            </w:r>
            <w:r w:rsidRPr="00A9305A">
              <w:rPr>
                <w:rFonts w:ascii="Tahoma" w:hAnsi="Tahoma" w:cs="Tahoma"/>
                <w:iCs/>
                <w:sz w:val="20"/>
                <w:szCs w:val="20"/>
                <w:lang w:val="en-US"/>
              </w:rPr>
              <w:t>National Tax Journal. – 1993. – V</w:t>
            </w:r>
            <w:r w:rsidRPr="00A9305A">
              <w:rPr>
                <w:rFonts w:ascii="Tahoma" w:hAnsi="Tahoma" w:cs="Tahoma"/>
                <w:sz w:val="20"/>
                <w:szCs w:val="20"/>
                <w:lang w:val="en-US"/>
              </w:rPr>
              <w:t>ol. 46. – № 2. – P. 207-227.</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jc w:val="both"/>
              <w:rPr>
                <w:rFonts w:ascii="Tahoma" w:hAnsi="Tahoma" w:cs="Tahoma"/>
                <w:sz w:val="20"/>
                <w:szCs w:val="20"/>
              </w:rPr>
            </w:pPr>
            <w:r w:rsidRPr="00A9305A">
              <w:rPr>
                <w:rFonts w:ascii="Tahoma" w:hAnsi="Tahoma" w:cs="Tahoma"/>
                <w:sz w:val="20"/>
                <w:szCs w:val="20"/>
                <w:lang w:val="en-US"/>
              </w:rPr>
              <w:t>Boiar (</w:t>
            </w:r>
            <w:r w:rsidRPr="00A9305A">
              <w:rPr>
                <w:rFonts w:ascii="Tahoma" w:hAnsi="Tahoma" w:cs="Tahoma"/>
                <w:sz w:val="20"/>
                <w:szCs w:val="20"/>
              </w:rPr>
              <w:t>Бояр</w:t>
            </w:r>
            <w:r w:rsidRPr="00A9305A">
              <w:rPr>
                <w:rFonts w:ascii="Tahoma" w:hAnsi="Tahoma" w:cs="Tahoma"/>
                <w:sz w:val="20"/>
                <w:szCs w:val="20"/>
                <w:lang w:val="en-US"/>
              </w:rPr>
              <w:t>)</w:t>
            </w:r>
            <w:r w:rsidRPr="00A9305A">
              <w:rPr>
                <w:rFonts w:ascii="Tahoma" w:hAnsi="Tahoma" w:cs="Tahoma"/>
                <w:sz w:val="20"/>
                <w:szCs w:val="20"/>
              </w:rPr>
              <w:t>А</w:t>
            </w:r>
            <w:r w:rsidRPr="00A9305A">
              <w:rPr>
                <w:rFonts w:ascii="Tahoma" w:hAnsi="Tahoma" w:cs="Tahoma"/>
                <w:sz w:val="20"/>
                <w:szCs w:val="20"/>
                <w:lang w:val="en-US"/>
              </w:rPr>
              <w:t xml:space="preserve">. </w:t>
            </w:r>
            <w:r w:rsidRPr="00A9305A">
              <w:rPr>
                <w:rFonts w:ascii="Tahoma" w:hAnsi="Tahoma" w:cs="Tahoma"/>
                <w:sz w:val="20"/>
                <w:szCs w:val="20"/>
              </w:rPr>
              <w:t>О</w:t>
            </w:r>
            <w:r w:rsidRPr="00A9305A">
              <w:rPr>
                <w:rFonts w:ascii="Tahoma" w:hAnsi="Tahoma" w:cs="Tahoma"/>
                <w:sz w:val="20"/>
                <w:szCs w:val="20"/>
                <w:lang w:val="en-US"/>
              </w:rPr>
              <w:t xml:space="preserve">. </w:t>
            </w:r>
            <w:r w:rsidRPr="00A9305A">
              <w:rPr>
                <w:rFonts w:ascii="Tahoma" w:hAnsi="Tahoma" w:cs="Tahoma"/>
                <w:sz w:val="20"/>
                <w:szCs w:val="20"/>
              </w:rPr>
              <w:t>БюджетнаполітикаЄС</w:t>
            </w:r>
            <w:r w:rsidRPr="00A9305A">
              <w:rPr>
                <w:rFonts w:ascii="Tahoma" w:hAnsi="Tahoma" w:cs="Tahoma"/>
                <w:sz w:val="20"/>
                <w:szCs w:val="20"/>
                <w:lang w:val="en-US"/>
              </w:rPr>
              <w:t xml:space="preserve"> // </w:t>
            </w:r>
            <w:r w:rsidRPr="00A9305A">
              <w:rPr>
                <w:rFonts w:ascii="Tahoma" w:hAnsi="Tahoma" w:cs="Tahoma"/>
                <w:sz w:val="20"/>
                <w:szCs w:val="20"/>
              </w:rPr>
              <w:t>Європейськаінтеграція</w:t>
            </w:r>
            <w:r w:rsidRPr="00A9305A">
              <w:rPr>
                <w:rFonts w:ascii="Tahoma" w:hAnsi="Tahoma" w:cs="Tahoma"/>
                <w:sz w:val="20"/>
                <w:szCs w:val="20"/>
                <w:lang w:val="en-US"/>
              </w:rPr>
              <w:t xml:space="preserve">: </w:t>
            </w:r>
            <w:r w:rsidRPr="00A9305A">
              <w:rPr>
                <w:rFonts w:ascii="Tahoma" w:hAnsi="Tahoma" w:cs="Tahoma"/>
                <w:sz w:val="20"/>
                <w:szCs w:val="20"/>
              </w:rPr>
              <w:t>навчальнийпосібник</w:t>
            </w:r>
            <w:r w:rsidRPr="00A9305A">
              <w:rPr>
                <w:rFonts w:ascii="Tahoma" w:hAnsi="Tahoma" w:cs="Tahoma"/>
                <w:sz w:val="20"/>
                <w:szCs w:val="20"/>
                <w:lang w:val="en-US"/>
              </w:rPr>
              <w:t xml:space="preserve"> / [</w:t>
            </w:r>
            <w:r w:rsidRPr="00A9305A">
              <w:rPr>
                <w:rFonts w:ascii="Tahoma" w:hAnsi="Tahoma" w:cs="Tahoma"/>
                <w:sz w:val="20"/>
                <w:szCs w:val="20"/>
              </w:rPr>
              <w:t>С</w:t>
            </w:r>
            <w:r w:rsidRPr="00A9305A">
              <w:rPr>
                <w:rFonts w:ascii="Tahoma" w:hAnsi="Tahoma" w:cs="Tahoma"/>
                <w:sz w:val="20"/>
                <w:szCs w:val="20"/>
                <w:lang w:val="en-US"/>
              </w:rPr>
              <w:t xml:space="preserve">. </w:t>
            </w:r>
            <w:r w:rsidRPr="00A9305A">
              <w:rPr>
                <w:rFonts w:ascii="Tahoma" w:hAnsi="Tahoma" w:cs="Tahoma"/>
                <w:sz w:val="20"/>
                <w:szCs w:val="20"/>
              </w:rPr>
              <w:t>В</w:t>
            </w:r>
            <w:r w:rsidRPr="00A9305A">
              <w:rPr>
                <w:rFonts w:ascii="Tahoma" w:hAnsi="Tahoma" w:cs="Tahoma"/>
                <w:sz w:val="20"/>
                <w:szCs w:val="20"/>
                <w:lang w:val="en-US"/>
              </w:rPr>
              <w:t xml:space="preserve">. </w:t>
            </w:r>
            <w:r w:rsidRPr="00A9305A">
              <w:rPr>
                <w:rFonts w:ascii="Tahoma" w:hAnsi="Tahoma" w:cs="Tahoma"/>
                <w:sz w:val="20"/>
                <w:szCs w:val="20"/>
              </w:rPr>
              <w:t>Федонюктаін</w:t>
            </w:r>
            <w:r w:rsidRPr="00A9305A">
              <w:rPr>
                <w:rFonts w:ascii="Tahoma" w:hAnsi="Tahoma" w:cs="Tahoma"/>
                <w:sz w:val="20"/>
                <w:szCs w:val="20"/>
                <w:lang w:val="en-US"/>
              </w:rPr>
              <w:t xml:space="preserve">.]; </w:t>
            </w:r>
            <w:r w:rsidRPr="00A9305A">
              <w:rPr>
                <w:rFonts w:ascii="Tahoma" w:hAnsi="Tahoma" w:cs="Tahoma"/>
                <w:sz w:val="20"/>
                <w:szCs w:val="20"/>
              </w:rPr>
              <w:t>заредакцієюС</w:t>
            </w:r>
            <w:r w:rsidRPr="00A9305A">
              <w:rPr>
                <w:rFonts w:ascii="Tahoma" w:hAnsi="Tahoma" w:cs="Tahoma"/>
                <w:sz w:val="20"/>
                <w:szCs w:val="20"/>
                <w:lang w:val="en-US"/>
              </w:rPr>
              <w:t>. </w:t>
            </w:r>
            <w:r w:rsidRPr="00A9305A">
              <w:rPr>
                <w:rFonts w:ascii="Tahoma" w:hAnsi="Tahoma" w:cs="Tahoma"/>
                <w:sz w:val="20"/>
                <w:szCs w:val="20"/>
              </w:rPr>
              <w:t>В</w:t>
            </w:r>
            <w:r w:rsidRPr="00A9305A">
              <w:rPr>
                <w:rFonts w:ascii="Tahoma" w:hAnsi="Tahoma" w:cs="Tahoma"/>
                <w:sz w:val="20"/>
                <w:szCs w:val="20"/>
                <w:lang w:val="en-US"/>
              </w:rPr>
              <w:t>. </w:t>
            </w:r>
            <w:r w:rsidRPr="00A9305A">
              <w:rPr>
                <w:rFonts w:ascii="Tahoma" w:hAnsi="Tahoma" w:cs="Tahoma"/>
                <w:sz w:val="20"/>
                <w:szCs w:val="20"/>
              </w:rPr>
              <w:t>Федонюка</w:t>
            </w:r>
            <w:r w:rsidRPr="00A9305A">
              <w:rPr>
                <w:rFonts w:ascii="Tahoma" w:hAnsi="Tahoma" w:cs="Tahoma"/>
                <w:sz w:val="20"/>
                <w:szCs w:val="20"/>
                <w:lang w:val="en-US"/>
              </w:rPr>
              <w:t xml:space="preserve">, </w:t>
            </w:r>
            <w:r w:rsidRPr="00A9305A">
              <w:rPr>
                <w:rFonts w:ascii="Tahoma" w:hAnsi="Tahoma" w:cs="Tahoma"/>
                <w:sz w:val="20"/>
                <w:szCs w:val="20"/>
              </w:rPr>
              <w:t>В</w:t>
            </w:r>
            <w:r w:rsidRPr="00A9305A">
              <w:rPr>
                <w:rFonts w:ascii="Tahoma" w:hAnsi="Tahoma" w:cs="Tahoma"/>
                <w:sz w:val="20"/>
                <w:szCs w:val="20"/>
                <w:lang w:val="en-US"/>
              </w:rPr>
              <w:t>. </w:t>
            </w:r>
            <w:r w:rsidRPr="00A9305A">
              <w:rPr>
                <w:rFonts w:ascii="Tahoma" w:hAnsi="Tahoma" w:cs="Tahoma"/>
                <w:sz w:val="20"/>
                <w:szCs w:val="20"/>
              </w:rPr>
              <w:t>Й</w:t>
            </w:r>
            <w:r w:rsidRPr="00A9305A">
              <w:rPr>
                <w:rFonts w:ascii="Tahoma" w:hAnsi="Tahoma" w:cs="Tahoma"/>
                <w:sz w:val="20"/>
                <w:szCs w:val="20"/>
                <w:lang w:val="en-US"/>
              </w:rPr>
              <w:t>. </w:t>
            </w:r>
            <w:r w:rsidRPr="00A9305A">
              <w:rPr>
                <w:rFonts w:ascii="Tahoma" w:hAnsi="Tahoma" w:cs="Tahoma"/>
                <w:sz w:val="20"/>
                <w:szCs w:val="20"/>
              </w:rPr>
              <w:t>Лажніка</w:t>
            </w:r>
            <w:r w:rsidRPr="00A9305A">
              <w:rPr>
                <w:rFonts w:ascii="Tahoma" w:hAnsi="Tahoma" w:cs="Tahoma"/>
                <w:sz w:val="20"/>
                <w:szCs w:val="20"/>
                <w:lang w:val="en-US"/>
              </w:rPr>
              <w:t xml:space="preserve">. </w:t>
            </w:r>
            <w:r w:rsidRPr="00A9305A">
              <w:rPr>
                <w:rFonts w:ascii="Tahoma" w:hAnsi="Tahoma" w:cs="Tahoma"/>
                <w:sz w:val="20"/>
                <w:szCs w:val="20"/>
              </w:rPr>
              <w:t xml:space="preserve">Видання друге, перероблене й доповнене. – Луцьк: ВолинськийнаціональнийуніверситетіменіЛесіУкраїнки, 2010. – С. 92-116. </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 xml:space="preserve">Buti M., Nava M. </w:t>
            </w:r>
            <w:r w:rsidRPr="00A9305A">
              <w:rPr>
                <w:rFonts w:ascii="Tahoma" w:hAnsi="Tahoma" w:cs="Tahoma"/>
                <w:bCs/>
                <w:sz w:val="20"/>
                <w:szCs w:val="20"/>
                <w:lang w:val="en-US"/>
              </w:rPr>
              <w:t>Towards a European Budgetary System</w:t>
            </w:r>
            <w:r w:rsidRPr="00A9305A">
              <w:rPr>
                <w:rFonts w:ascii="Tahoma" w:hAnsi="Tahoma" w:cs="Tahoma"/>
                <w:b/>
                <w:bCs/>
                <w:sz w:val="20"/>
                <w:szCs w:val="20"/>
                <w:lang w:val="en-US"/>
              </w:rPr>
              <w:t xml:space="preserve"> // </w:t>
            </w:r>
            <w:r w:rsidRPr="00A9305A">
              <w:rPr>
                <w:rFonts w:ascii="Tahoma" w:hAnsi="Tahoma" w:cs="Tahoma"/>
                <w:sz w:val="20"/>
                <w:szCs w:val="20"/>
                <w:lang w:val="en-US"/>
              </w:rPr>
              <w:t>European University Institute Working Papers. – 2003. – № 8. –21 p. //</w:t>
            </w:r>
            <w:hyperlink r:id="rId11" w:history="1">
              <w:r w:rsidRPr="00A9305A">
                <w:rPr>
                  <w:rStyle w:val="a4"/>
                  <w:rFonts w:ascii="Tahoma" w:hAnsi="Tahoma" w:cs="Tahoma"/>
                  <w:sz w:val="20"/>
                  <w:szCs w:val="20"/>
                  <w:lang w:val="en-US"/>
                </w:rPr>
                <w:t>http://www.iue.it/RSCAS/WP-Texts/03_08.pdf</w:t>
              </w:r>
            </w:hyperlink>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 xml:space="preserve">Carruba C. J. Net Financial Transfers in the European Union: Who Gets What and Why? // </w:t>
            </w:r>
            <w:r w:rsidRPr="00A9305A">
              <w:rPr>
                <w:rFonts w:ascii="Tahoma" w:hAnsi="Tahoma" w:cs="Tahoma"/>
                <w:iCs/>
                <w:sz w:val="20"/>
                <w:szCs w:val="20"/>
                <w:lang w:val="en-US"/>
              </w:rPr>
              <w:t xml:space="preserve">Journal of Politics. – 1997. – № </w:t>
            </w:r>
            <w:r w:rsidRPr="00A9305A">
              <w:rPr>
                <w:rFonts w:ascii="Tahoma" w:hAnsi="Tahoma" w:cs="Tahoma"/>
                <w:sz w:val="20"/>
                <w:szCs w:val="20"/>
                <w:lang w:val="en-US"/>
              </w:rPr>
              <w:t>59. – P. 469-496.</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 xml:space="preserve">Cipriani G. Rethinking the EU Budget: Three unavoidable Reforms. – Brussels: Centre for European Policy Studies, 2007. – 157 p. // </w:t>
            </w:r>
            <w:hyperlink r:id="rId12" w:history="1">
              <w:r w:rsidRPr="00A9305A">
                <w:rPr>
                  <w:rStyle w:val="a4"/>
                  <w:rFonts w:ascii="Tahoma" w:hAnsi="Tahoma" w:cs="Tahoma"/>
                  <w:sz w:val="20"/>
                  <w:szCs w:val="20"/>
                  <w:lang w:val="en-US"/>
                </w:rPr>
                <w:t>http://www.ceps.eu/files/book/1563.pdf</w:t>
              </w:r>
            </w:hyperlink>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rPr>
              <w:t>Consolidated version of the Treaty on the Functioning of the European Union // Official Journal of the European Union. – 2008. – C 115. – P. 47–199.</w:t>
            </w:r>
          </w:p>
          <w:p w:rsidR="00A83E47" w:rsidRPr="00E31183"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bCs/>
                <w:sz w:val="20"/>
                <w:szCs w:val="20"/>
                <w:lang w:val="en-US"/>
              </w:rPr>
              <w:t xml:space="preserve">Council Decision </w:t>
            </w:r>
            <w:r w:rsidRPr="00A9305A">
              <w:rPr>
                <w:rFonts w:ascii="Tahoma" w:hAnsi="Tahoma" w:cs="Tahoma"/>
                <w:sz w:val="20"/>
                <w:szCs w:val="20"/>
                <w:lang w:val="en-US"/>
              </w:rPr>
              <w:t>2007/436/EC, Euratom</w:t>
            </w:r>
            <w:r w:rsidRPr="00A9305A">
              <w:rPr>
                <w:rFonts w:ascii="Tahoma" w:hAnsi="Tahoma" w:cs="Tahoma"/>
                <w:bCs/>
                <w:sz w:val="20"/>
                <w:szCs w:val="20"/>
                <w:lang w:val="en-US"/>
              </w:rPr>
              <w:t xml:space="preserve"> of 7 June 2007 on the system of the European Communities’ own resources // </w:t>
            </w:r>
            <w:r w:rsidRPr="00A9305A">
              <w:rPr>
                <w:rFonts w:ascii="Tahoma" w:hAnsi="Tahoma" w:cs="Tahoma"/>
                <w:sz w:val="20"/>
                <w:szCs w:val="20"/>
                <w:lang w:val="en-US"/>
              </w:rPr>
              <w:t>OJ. – 2007 (23.06). – L 163. – P. 17-21.</w:t>
            </w:r>
          </w:p>
          <w:p w:rsidR="00A83E47" w:rsidRPr="00422BC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b/>
                <w:sz w:val="20"/>
                <w:szCs w:val="20"/>
                <w:lang w:val="en-US"/>
              </w:rPr>
            </w:pPr>
            <w:r w:rsidRPr="00422BCA">
              <w:rPr>
                <w:rStyle w:val="a8"/>
                <w:rFonts w:ascii="Tahoma" w:hAnsi="Tahoma" w:cs="Tahoma"/>
                <w:b w:val="0"/>
                <w:sz w:val="20"/>
                <w:szCs w:val="20"/>
                <w:lang w:val="en-US"/>
              </w:rPr>
              <w:t>Council Regulation (EC, Euratom) No 1605/2002 of 25 June 2002 on the Financial Regulation applicable to the general budget of the European Communities // OJ. – 2002 (16.09). – L 248. – P. 1</w:t>
            </w:r>
            <w:r w:rsidRPr="00422BCA">
              <w:rPr>
                <w:rFonts w:ascii="Tahoma" w:hAnsi="Tahoma" w:cs="Tahoma"/>
                <w:b/>
                <w:iCs/>
                <w:sz w:val="20"/>
                <w:szCs w:val="20"/>
                <w:lang w:val="en-US"/>
              </w:rPr>
              <w:t>–</w:t>
            </w:r>
            <w:r w:rsidRPr="00422BCA">
              <w:rPr>
                <w:rStyle w:val="a8"/>
                <w:rFonts w:ascii="Tahoma" w:hAnsi="Tahoma" w:cs="Tahoma"/>
                <w:b w:val="0"/>
                <w:sz w:val="20"/>
                <w:szCs w:val="20"/>
                <w:lang w:val="en-US"/>
              </w:rPr>
              <w:t>86.</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bCs/>
                <w:sz w:val="20"/>
                <w:szCs w:val="20"/>
                <w:lang w:val="en-US"/>
              </w:rPr>
              <w:t>Ferrer J. N. The EU Budget: the UK Rebate and the CAP – Phasing them both out</w:t>
            </w:r>
            <w:r w:rsidRPr="00A9305A">
              <w:rPr>
                <w:rFonts w:ascii="Tahoma" w:hAnsi="Tahoma" w:cs="Tahoma"/>
                <w:sz w:val="20"/>
                <w:szCs w:val="20"/>
                <w:lang w:val="en-US"/>
              </w:rPr>
              <w:t xml:space="preserve">? / CEPS task force report. – Brussels: Center for European Policy Studies, 2007. – 108 p. </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Figueira F. A Better</w:t>
            </w:r>
            <w:bookmarkStart w:id="0" w:name="_GoBack"/>
            <w:bookmarkEnd w:id="0"/>
            <w:r w:rsidRPr="00A9305A">
              <w:rPr>
                <w:rFonts w:ascii="Tahoma" w:hAnsi="Tahoma" w:cs="Tahoma"/>
                <w:sz w:val="20"/>
                <w:szCs w:val="20"/>
                <w:lang w:val="en-US"/>
              </w:rPr>
              <w:t xml:space="preserve"> Budget for Europe: Economically Efficient, Politically Realistic // </w:t>
            </w:r>
            <w:r w:rsidRPr="00A9305A">
              <w:rPr>
                <w:rFonts w:ascii="Tahoma" w:hAnsi="Tahoma" w:cs="Tahoma"/>
                <w:bCs/>
                <w:sz w:val="20"/>
                <w:szCs w:val="20"/>
                <w:lang w:val="en-US"/>
              </w:rPr>
              <w:t xml:space="preserve">European Policy Analysis (Journal of the </w:t>
            </w:r>
            <w:r w:rsidRPr="00A9305A">
              <w:rPr>
                <w:rFonts w:ascii="Tahoma" w:hAnsi="Tahoma" w:cs="Tahoma"/>
                <w:sz w:val="20"/>
                <w:szCs w:val="20"/>
                <w:lang w:val="en-US"/>
              </w:rPr>
              <w:t>Swedish Institute for European Policy Studies). – 2008. – № 2. – 4 p.</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bCs/>
                <w:sz w:val="20"/>
                <w:szCs w:val="20"/>
                <w:lang w:val="en-US"/>
              </w:rPr>
              <w:t xml:space="preserve">Funding the European Union. </w:t>
            </w:r>
            <w:r w:rsidRPr="00A9305A">
              <w:rPr>
                <w:rFonts w:ascii="Tahoma" w:hAnsi="Tahoma" w:cs="Tahoma"/>
                <w:sz w:val="20"/>
                <w:szCs w:val="20"/>
                <w:lang w:val="en-US"/>
              </w:rPr>
              <w:t xml:space="preserve">Report with Evidence // House of Lords European Union Committee. – </w:t>
            </w:r>
            <w:r w:rsidRPr="00A9305A">
              <w:rPr>
                <w:rFonts w:ascii="Tahoma" w:hAnsi="Tahoma" w:cs="Tahoma"/>
                <w:iCs/>
                <w:sz w:val="20"/>
                <w:szCs w:val="20"/>
                <w:lang w:val="en-US"/>
              </w:rPr>
              <w:t>London</w:t>
            </w:r>
            <w:r w:rsidRPr="00A9305A">
              <w:rPr>
                <w:rFonts w:ascii="Tahoma" w:hAnsi="Tahoma" w:cs="Tahoma"/>
                <w:sz w:val="20"/>
                <w:szCs w:val="20"/>
                <w:lang w:val="en-US"/>
              </w:rPr>
              <w:t xml:space="preserve">: The House of Lords Stationery Office Limited, 2007. – 97 p. </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Gretschmann K. Reform of the own-resources system and net positions in the EU budget // European Parliament Directorate-General for Research Working Document, Budget Series 100, 1998 //</w:t>
            </w:r>
            <w:hyperlink r:id="rId13" w:history="1">
              <w:r w:rsidRPr="00A9305A">
                <w:rPr>
                  <w:rStyle w:val="a4"/>
                  <w:rFonts w:ascii="Tahoma" w:hAnsi="Tahoma" w:cs="Tahoma"/>
                  <w:sz w:val="20"/>
                  <w:szCs w:val="20"/>
                  <w:lang w:val="en-US"/>
                </w:rPr>
                <w:t>http://www.europarl.europa.eu/workingpapers/budg/100/default_en.htm</w:t>
              </w:r>
            </w:hyperlink>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bCs/>
                <w:sz w:val="20"/>
                <w:szCs w:val="20"/>
                <w:lang w:val="en-US"/>
              </w:rPr>
              <w:t xml:space="preserve">Grybauskaite D. </w:t>
            </w:r>
            <w:r w:rsidRPr="00A9305A">
              <w:rPr>
                <w:rFonts w:ascii="Tahoma" w:hAnsi="Tahoma" w:cs="Tahoma"/>
                <w:iCs/>
                <w:sz w:val="20"/>
                <w:szCs w:val="20"/>
                <w:lang w:val="en-US"/>
              </w:rPr>
              <w:t>Results of the public consultation</w:t>
            </w:r>
            <w:r w:rsidRPr="00A9305A">
              <w:rPr>
                <w:rFonts w:ascii="Tahoma" w:hAnsi="Tahoma" w:cs="Tahoma"/>
                <w:sz w:val="20"/>
                <w:szCs w:val="20"/>
                <w:lang w:val="en-US"/>
              </w:rPr>
              <w:t xml:space="preserve">»Reforming the Budget, Changing Europe» // Speech delivered at Conference «Reforming the Budget, Changing Europe», Brussels, 12 November 2008 // </w:t>
            </w:r>
            <w:hyperlink r:id="rId14" w:history="1">
              <w:r w:rsidRPr="00A9305A">
                <w:rPr>
                  <w:rStyle w:val="a4"/>
                  <w:rFonts w:ascii="Tahoma" w:hAnsi="Tahoma" w:cs="Tahoma"/>
                  <w:sz w:val="20"/>
                  <w:szCs w:val="20"/>
                  <w:lang w:val="en-US"/>
                </w:rPr>
                <w:t>http://ec.europa.eu/commission_barroso/grybauskaite/pdf/presentation_2008nov12.pdf</w:t>
              </w:r>
            </w:hyperlink>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 xml:space="preserve">Heinemann </w:t>
            </w:r>
            <w:r w:rsidRPr="00A9305A">
              <w:rPr>
                <w:rFonts w:ascii="Tahoma" w:hAnsi="Tahoma" w:cs="Tahoma"/>
                <w:sz w:val="20"/>
                <w:szCs w:val="20"/>
              </w:rPr>
              <w:t>F</w:t>
            </w:r>
            <w:r w:rsidRPr="00A9305A">
              <w:rPr>
                <w:rFonts w:ascii="Tahoma" w:hAnsi="Tahoma" w:cs="Tahoma"/>
                <w:sz w:val="20"/>
                <w:szCs w:val="20"/>
                <w:lang w:val="en-US"/>
              </w:rPr>
              <w:t>., Mohl</w:t>
            </w:r>
            <w:r w:rsidRPr="00A9305A">
              <w:rPr>
                <w:rFonts w:ascii="Tahoma" w:hAnsi="Tahoma" w:cs="Tahoma"/>
                <w:sz w:val="20"/>
                <w:szCs w:val="20"/>
              </w:rPr>
              <w:t>Ph</w:t>
            </w:r>
            <w:r w:rsidRPr="00A9305A">
              <w:rPr>
                <w:rFonts w:ascii="Tahoma" w:hAnsi="Tahoma" w:cs="Tahoma"/>
                <w:sz w:val="20"/>
                <w:szCs w:val="20"/>
                <w:lang w:val="en-US"/>
              </w:rPr>
              <w:t>., Osterloh</w:t>
            </w:r>
            <w:r w:rsidRPr="00A9305A">
              <w:rPr>
                <w:rFonts w:ascii="Tahoma" w:hAnsi="Tahoma" w:cs="Tahoma"/>
                <w:sz w:val="20"/>
                <w:szCs w:val="20"/>
              </w:rPr>
              <w:t>S</w:t>
            </w:r>
            <w:r w:rsidRPr="00A9305A">
              <w:rPr>
                <w:rFonts w:ascii="Tahoma" w:hAnsi="Tahoma" w:cs="Tahoma"/>
                <w:sz w:val="20"/>
                <w:szCs w:val="20"/>
                <w:lang w:val="en-US"/>
              </w:rPr>
              <w:t xml:space="preserve">. </w:t>
            </w:r>
            <w:r w:rsidRPr="00A9305A">
              <w:rPr>
                <w:rFonts w:ascii="Tahoma" w:hAnsi="Tahoma" w:cs="Tahoma"/>
                <w:bCs/>
                <w:sz w:val="20"/>
                <w:szCs w:val="20"/>
                <w:lang w:val="en-US"/>
              </w:rPr>
              <w:t xml:space="preserve">Reform Options for the EU Own Resources System: Abstract and Executive Summary / Research Project 8/06 Commissioned by the German Federal Ministry of Finance. – Mannheim: </w:t>
            </w:r>
            <w:r w:rsidRPr="00A9305A">
              <w:rPr>
                <w:rFonts w:ascii="Tahoma" w:hAnsi="Tahoma" w:cs="Tahoma"/>
                <w:sz w:val="20"/>
                <w:szCs w:val="20"/>
                <w:lang w:val="en-US"/>
              </w:rPr>
              <w:t xml:space="preserve">ZentrumfürEuropäischeWirtschaftsforschung, 2008. – 13 p. </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 xml:space="preserve">Nicolaides Ph., Talsma F. Financing the European Union: Options for Reform // EIPASCOPE. – 2005. – № 2. – P. 27-34. </w:t>
            </w:r>
          </w:p>
          <w:p w:rsidR="00A83E47" w:rsidRPr="00A9305A" w:rsidRDefault="00A83E47" w:rsidP="00A83E47">
            <w:pPr>
              <w:pStyle w:val="a6"/>
              <w:numPr>
                <w:ilvl w:val="0"/>
                <w:numId w:val="3"/>
              </w:numPr>
              <w:tabs>
                <w:tab w:val="clear" w:pos="1125"/>
                <w:tab w:val="num" w:pos="272"/>
                <w:tab w:val="left" w:pos="503"/>
              </w:tabs>
              <w:ind w:left="503" w:hanging="399"/>
              <w:rPr>
                <w:rFonts w:ascii="Tahoma" w:hAnsi="Tahoma" w:cs="Tahoma"/>
              </w:rPr>
            </w:pPr>
            <w:r w:rsidRPr="00A9305A">
              <w:rPr>
                <w:rFonts w:ascii="Tahoma" w:hAnsi="Tahoma" w:cs="Tahoma"/>
              </w:rPr>
              <w:t xml:space="preserve">Pietras J. Thefutureofthe EU budget. Insearchofcoherenceofobjectives, policiesandfinancesoftheUnion. – Warsaw: </w:t>
            </w:r>
            <w:r w:rsidRPr="00A9305A">
              <w:rPr>
                <w:rFonts w:ascii="Tahoma" w:hAnsi="Tahoma" w:cs="Tahoma"/>
                <w:lang w:val="en-US"/>
              </w:rPr>
              <w:t>D</w:t>
            </w:r>
            <w:r w:rsidRPr="00A9305A">
              <w:rPr>
                <w:rFonts w:ascii="Tahoma" w:hAnsi="Tahoma" w:cs="Tahoma"/>
              </w:rPr>
              <w:t>emosEUROPA–Centre forEuropeanStrategy, 2008</w:t>
            </w:r>
            <w:r w:rsidRPr="00A9305A">
              <w:rPr>
                <w:rFonts w:ascii="Tahoma" w:hAnsi="Tahoma" w:cs="Tahoma"/>
                <w:lang w:val="en-US"/>
              </w:rPr>
              <w:t>. – 68 p.</w:t>
            </w:r>
          </w:p>
          <w:p w:rsidR="00A83E47" w:rsidRPr="00A9305A" w:rsidRDefault="00A83E47" w:rsidP="00A83E47">
            <w:pPr>
              <w:numPr>
                <w:ilvl w:val="0"/>
                <w:numId w:val="3"/>
              </w:numPr>
              <w:tabs>
                <w:tab w:val="clear" w:pos="1125"/>
                <w:tab w:val="num" w:pos="272"/>
                <w:tab w:val="left" w:pos="503"/>
              </w:tabs>
              <w:autoSpaceDE w:val="0"/>
              <w:autoSpaceDN w:val="0"/>
              <w:adjustRightInd w:val="0"/>
              <w:ind w:left="503" w:hanging="399"/>
              <w:rPr>
                <w:rFonts w:ascii="Tahoma" w:hAnsi="Tahoma" w:cs="Tahoma"/>
                <w:sz w:val="20"/>
                <w:szCs w:val="20"/>
                <w:lang w:val="en-US"/>
              </w:rPr>
            </w:pPr>
            <w:r w:rsidRPr="00A9305A">
              <w:rPr>
                <w:rFonts w:ascii="Tahoma" w:hAnsi="Tahoma" w:cs="Tahoma"/>
                <w:sz w:val="20"/>
                <w:szCs w:val="20"/>
                <w:lang w:val="en-US"/>
              </w:rPr>
              <w:t xml:space="preserve">Šimović H. Fiscal system and fiscal relations in the European Union: political restraints and alternative approach to public finance // Faculty of Economics and Business University of Zagreb Working Paper Series. – 2007. – № 4. – 11 p. </w:t>
            </w:r>
          </w:p>
          <w:p w:rsidR="00A83E47" w:rsidRPr="005C62B7" w:rsidRDefault="00A83E47" w:rsidP="00D12F38">
            <w:pPr>
              <w:pStyle w:val="a6"/>
              <w:autoSpaceDE w:val="0"/>
              <w:autoSpaceDN w:val="0"/>
              <w:adjustRightInd w:val="0"/>
              <w:ind w:left="426"/>
              <w:rPr>
                <w:rFonts w:ascii="Tahoma" w:hAnsi="Tahoma" w:cs="Tahoma"/>
                <w:color w:val="000000"/>
              </w:rPr>
            </w:pPr>
          </w:p>
        </w:tc>
      </w:tr>
    </w:tbl>
    <w:p w:rsidR="0022648F" w:rsidRDefault="0022648F"/>
    <w:sectPr w:rsidR="0022648F" w:rsidSect="008D735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72" w:rsidRDefault="00510072" w:rsidP="00D950D1">
      <w:r>
        <w:separator/>
      </w:r>
    </w:p>
  </w:endnote>
  <w:endnote w:type="continuationSeparator" w:id="0">
    <w:p w:rsidR="00510072" w:rsidRDefault="00510072" w:rsidP="00D950D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0A" w:rsidRDefault="009B4E0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D1" w:rsidRDefault="00D950D1" w:rsidP="00D950D1">
    <w:pPr>
      <w:autoSpaceDE w:val="0"/>
      <w:autoSpaceDN w:val="0"/>
      <w:adjustRightInd w:val="0"/>
      <w:jc w:val="center"/>
      <w:rPr>
        <w:rFonts w:ascii="Arial" w:hAnsi="Arial" w:cs="Arial"/>
        <w:i/>
        <w:sz w:val="16"/>
        <w:szCs w:val="16"/>
        <w:lang w:val="ru-RU"/>
      </w:rPr>
    </w:pPr>
  </w:p>
  <w:p w:rsidR="00D950D1" w:rsidRPr="00103238" w:rsidRDefault="00D950D1" w:rsidP="00D950D1">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D950D1" w:rsidRPr="00A00FEC" w:rsidRDefault="00D950D1" w:rsidP="00D950D1">
    <w:pPr>
      <w:pStyle w:val="ab"/>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0A" w:rsidRDefault="009B4E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72" w:rsidRDefault="00510072" w:rsidP="00D950D1">
      <w:r>
        <w:separator/>
      </w:r>
    </w:p>
  </w:footnote>
  <w:footnote w:type="continuationSeparator" w:id="0">
    <w:p w:rsidR="00510072" w:rsidRDefault="00510072" w:rsidP="00D95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0A" w:rsidRDefault="009B4E0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D1" w:rsidRPr="00D950D1" w:rsidRDefault="009B4E0A">
    <w:pPr>
      <w:pStyle w:val="a9"/>
      <w:rPr>
        <w:lang w:val="en-US"/>
      </w:rPr>
    </w:pPr>
    <w:r w:rsidRPr="009B4E0A">
      <w:rPr>
        <w:lang w:val="en-US"/>
      </w:rPr>
      <w:drawing>
        <wp:anchor distT="0" distB="0" distL="114300" distR="114300" simplePos="0" relativeHeight="251661312" behindDoc="1" locked="0" layoutInCell="1" allowOverlap="1">
          <wp:simplePos x="0" y="0"/>
          <wp:positionH relativeFrom="column">
            <wp:posOffset>5139690</wp:posOffset>
          </wp:positionH>
          <wp:positionV relativeFrom="paragraph">
            <wp:posOffset>-240030</wp:posOffset>
          </wp:positionV>
          <wp:extent cx="704850" cy="933450"/>
          <wp:effectExtent l="19050" t="0" r="0" b="0"/>
          <wp:wrapTight wrapText="bothSides">
            <wp:wrapPolygon edited="0">
              <wp:start x="-584" y="0"/>
              <wp:lineTo x="-584" y="21159"/>
              <wp:lineTo x="21600" y="21159"/>
              <wp:lineTo x="21600" y="0"/>
              <wp:lineTo x="-584" y="0"/>
            </wp:wrapPolygon>
          </wp:wrapTight>
          <wp:docPr id="5"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1" cstate="print"/>
                  <a:srcRect/>
                  <a:stretch>
                    <a:fillRect/>
                  </a:stretch>
                </pic:blipFill>
                <pic:spPr bwMode="auto">
                  <a:xfrm>
                    <a:off x="0" y="0"/>
                    <a:ext cx="704850" cy="933450"/>
                  </a:xfrm>
                  <a:prstGeom prst="rect">
                    <a:avLst/>
                  </a:prstGeom>
                  <a:noFill/>
                  <a:ln w="9525">
                    <a:noFill/>
                    <a:miter lim="800000"/>
                    <a:headEnd/>
                    <a:tailEnd/>
                  </a:ln>
                </pic:spPr>
              </pic:pic>
            </a:graphicData>
          </a:graphic>
        </wp:anchor>
      </w:drawing>
    </w:r>
    <w:r w:rsidR="00D950D1" w:rsidRPr="00D950D1">
      <w:rPr>
        <w:noProof/>
        <w:lang w:val="ru-RU"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-30480</wp:posOffset>
          </wp:positionV>
          <wp:extent cx="2343150" cy="533400"/>
          <wp:effectExtent l="19050" t="0" r="0" b="0"/>
          <wp:wrapTight wrapText="bothSides">
            <wp:wrapPolygon edited="0">
              <wp:start x="-176" y="0"/>
              <wp:lineTo x="-176" y="20829"/>
              <wp:lineTo x="21600" y="20829"/>
              <wp:lineTo x="21600" y="0"/>
              <wp:lineTo x="-17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343150"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0A" w:rsidRDefault="009B4E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6173B"/>
    <w:multiLevelType w:val="hybridMultilevel"/>
    <w:tmpl w:val="AE6C0E38"/>
    <w:lvl w:ilvl="0" w:tplc="5686A3BA">
      <w:start w:val="1"/>
      <w:numFmt w:val="decimal"/>
      <w:lvlText w:val="%1."/>
      <w:lvlJc w:val="left"/>
      <w:pPr>
        <w:tabs>
          <w:tab w:val="num" w:pos="1125"/>
        </w:tabs>
        <w:ind w:left="1125" w:hanging="405"/>
      </w:pPr>
      <w:rPr>
        <w:rFonts w:ascii="Tahoma" w:hAnsi="Tahoma" w:cs="Times New Roman" w:hint="default"/>
        <w:b w:val="0"/>
        <w:i w:val="0"/>
        <w:color w:val="auto"/>
        <w:sz w:val="20"/>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5F3011FB"/>
    <w:multiLevelType w:val="hybridMultilevel"/>
    <w:tmpl w:val="862EF2C4"/>
    <w:lvl w:ilvl="0" w:tplc="627EF2E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B917E6"/>
    <w:multiLevelType w:val="hybridMultilevel"/>
    <w:tmpl w:val="05A4C7DC"/>
    <w:lvl w:ilvl="0" w:tplc="781C5B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1"/>
    <w:footnote w:id="0"/>
  </w:footnotePr>
  <w:endnotePr>
    <w:endnote w:id="-1"/>
    <w:endnote w:id="0"/>
  </w:endnotePr>
  <w:compat/>
  <w:rsids>
    <w:rsidRoot w:val="00A83E47"/>
    <w:rsid w:val="0022648F"/>
    <w:rsid w:val="00422BCA"/>
    <w:rsid w:val="004D16A2"/>
    <w:rsid w:val="00510072"/>
    <w:rsid w:val="008D7350"/>
    <w:rsid w:val="009B4E0A"/>
    <w:rsid w:val="00A83E47"/>
    <w:rsid w:val="00D950D1"/>
    <w:rsid w:val="00E04D00"/>
    <w:rsid w:val="00E1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4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E47"/>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A83E47"/>
    <w:rPr>
      <w:rFonts w:cs="Times New Roman"/>
      <w:color w:val="0000FF"/>
      <w:u w:val="single"/>
    </w:rPr>
  </w:style>
  <w:style w:type="paragraph" w:styleId="a5">
    <w:name w:val="List Paragraph"/>
    <w:basedOn w:val="a"/>
    <w:uiPriority w:val="34"/>
    <w:qFormat/>
    <w:rsid w:val="00A83E47"/>
    <w:pPr>
      <w:ind w:left="720"/>
    </w:pPr>
  </w:style>
  <w:style w:type="paragraph" w:styleId="a6">
    <w:name w:val="endnote text"/>
    <w:basedOn w:val="a"/>
    <w:link w:val="a7"/>
    <w:semiHidden/>
    <w:rsid w:val="00A83E47"/>
    <w:rPr>
      <w:sz w:val="20"/>
      <w:szCs w:val="20"/>
      <w:lang w:val="uk-UA" w:eastAsia="uk-UA"/>
    </w:rPr>
  </w:style>
  <w:style w:type="character" w:customStyle="1" w:styleId="a7">
    <w:name w:val="Текст концевой сноски Знак"/>
    <w:basedOn w:val="a0"/>
    <w:link w:val="a6"/>
    <w:semiHidden/>
    <w:rsid w:val="00A83E47"/>
    <w:rPr>
      <w:rFonts w:ascii="Times New Roman" w:eastAsia="Times New Roman" w:hAnsi="Times New Roman" w:cs="Times New Roman"/>
      <w:sz w:val="20"/>
      <w:szCs w:val="20"/>
      <w:lang w:val="uk-UA" w:eastAsia="uk-UA"/>
    </w:rPr>
  </w:style>
  <w:style w:type="character" w:styleId="a8">
    <w:name w:val="Strong"/>
    <w:basedOn w:val="a0"/>
    <w:uiPriority w:val="22"/>
    <w:qFormat/>
    <w:rsid w:val="00A83E47"/>
    <w:rPr>
      <w:rFonts w:cs="Times New Roman"/>
      <w:b/>
    </w:rPr>
  </w:style>
  <w:style w:type="paragraph" w:styleId="a9">
    <w:name w:val="header"/>
    <w:basedOn w:val="a"/>
    <w:link w:val="aa"/>
    <w:uiPriority w:val="99"/>
    <w:semiHidden/>
    <w:unhideWhenUsed/>
    <w:rsid w:val="00D950D1"/>
    <w:pPr>
      <w:tabs>
        <w:tab w:val="center" w:pos="4677"/>
        <w:tab w:val="right" w:pos="9355"/>
      </w:tabs>
    </w:pPr>
  </w:style>
  <w:style w:type="character" w:customStyle="1" w:styleId="aa">
    <w:name w:val="Верхний колонтитул Знак"/>
    <w:basedOn w:val="a0"/>
    <w:link w:val="a9"/>
    <w:uiPriority w:val="99"/>
    <w:semiHidden/>
    <w:rsid w:val="00D950D1"/>
    <w:rPr>
      <w:rFonts w:ascii="Times New Roman" w:eastAsia="Times New Roman" w:hAnsi="Times New Roman" w:cs="Times New Roman"/>
      <w:sz w:val="24"/>
      <w:szCs w:val="24"/>
      <w:lang w:val="en-GB" w:eastAsia="en-GB"/>
    </w:rPr>
  </w:style>
  <w:style w:type="paragraph" w:styleId="ab">
    <w:name w:val="footer"/>
    <w:basedOn w:val="a"/>
    <w:link w:val="ac"/>
    <w:uiPriority w:val="99"/>
    <w:unhideWhenUsed/>
    <w:rsid w:val="00D950D1"/>
    <w:pPr>
      <w:tabs>
        <w:tab w:val="center" w:pos="4677"/>
        <w:tab w:val="right" w:pos="9355"/>
      </w:tabs>
    </w:pPr>
  </w:style>
  <w:style w:type="character" w:customStyle="1" w:styleId="ac">
    <w:name w:val="Нижний колонтитул Знак"/>
    <w:basedOn w:val="a0"/>
    <w:link w:val="ab"/>
    <w:uiPriority w:val="99"/>
    <w:rsid w:val="00D950D1"/>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4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E47"/>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A83E47"/>
    <w:rPr>
      <w:rFonts w:cs="Times New Roman"/>
      <w:color w:val="0000FF"/>
      <w:u w:val="single"/>
    </w:rPr>
  </w:style>
  <w:style w:type="paragraph" w:styleId="a5">
    <w:name w:val="List Paragraph"/>
    <w:basedOn w:val="a"/>
    <w:uiPriority w:val="34"/>
    <w:qFormat/>
    <w:rsid w:val="00A83E47"/>
    <w:pPr>
      <w:ind w:left="720"/>
    </w:pPr>
  </w:style>
  <w:style w:type="paragraph" w:styleId="a6">
    <w:name w:val="endnote text"/>
    <w:basedOn w:val="a"/>
    <w:link w:val="a7"/>
    <w:semiHidden/>
    <w:rsid w:val="00A83E47"/>
    <w:rPr>
      <w:sz w:val="20"/>
      <w:szCs w:val="20"/>
      <w:lang w:val="uk-UA" w:eastAsia="uk-UA"/>
    </w:rPr>
  </w:style>
  <w:style w:type="character" w:customStyle="1" w:styleId="a7">
    <w:name w:val="Текст концевой сноски Знак"/>
    <w:basedOn w:val="a0"/>
    <w:link w:val="a6"/>
    <w:semiHidden/>
    <w:rsid w:val="00A83E47"/>
    <w:rPr>
      <w:rFonts w:ascii="Times New Roman" w:eastAsia="Times New Roman" w:hAnsi="Times New Roman" w:cs="Times New Roman"/>
      <w:sz w:val="20"/>
      <w:szCs w:val="20"/>
      <w:lang w:val="uk-UA" w:eastAsia="uk-UA"/>
    </w:rPr>
  </w:style>
  <w:style w:type="character" w:styleId="a8">
    <w:name w:val="Strong"/>
    <w:basedOn w:val="a0"/>
    <w:uiPriority w:val="22"/>
    <w:qFormat/>
    <w:rsid w:val="00A83E47"/>
    <w:rPr>
      <w:rFonts w:cs="Times New Roman"/>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hop.europa.eu" TargetMode="External"/><Relationship Id="rId13" Type="http://schemas.openxmlformats.org/officeDocument/2006/relationships/hyperlink" Target="http://www.europarl.europa.eu/workingpapers/budg/100/default_en.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drij.Boyar@eenu.edu.ua" TargetMode="External"/><Relationship Id="rId12" Type="http://schemas.openxmlformats.org/officeDocument/2006/relationships/hyperlink" Target="http://www.ceps.eu/files/book/156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e.it/RSCAS/WP-Texts/03_08.pdf"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2.lse.ac.uk/publicEvents/pdf/20081127GrybauskaiteBegg.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esearchgate.net/publication/256548173______%28Budgetary_Process_in_the_European_Union%29?ev=prf_pub" TargetMode="External"/><Relationship Id="rId14" Type="http://schemas.openxmlformats.org/officeDocument/2006/relationships/hyperlink" Target="http://ec.europa.eu/commission_barroso/grybauskaite/pdf/presentation_2008nov12.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Marta Sydoruk</cp:lastModifiedBy>
  <cp:revision>4</cp:revision>
  <dcterms:created xsi:type="dcterms:W3CDTF">2020-01-22T21:04:00Z</dcterms:created>
  <dcterms:modified xsi:type="dcterms:W3CDTF">2020-01-24T12:20:00Z</dcterms:modified>
</cp:coreProperties>
</file>